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bidi w:val="0"/>
        <w:snapToGrid/>
        <w:spacing w:line="560" w:lineRule="exact"/>
        <w:jc w:val="both"/>
        <w:textAlignment w:val="auto"/>
        <w:outlineLvl w:val="9"/>
        <w:rPr>
          <w:rFonts w:hint="eastAsia" w:ascii="黑体" w:hAnsi="黑体" w:eastAsia="黑体" w:cs="黑体"/>
          <w:color w:val="auto"/>
          <w:sz w:val="32"/>
          <w:szCs w:val="32"/>
          <w:highlight w:val="none"/>
          <w:lang w:eastAsia="zh-CN"/>
        </w:rPr>
      </w:pPr>
      <w:bookmarkStart w:id="2" w:name="_GoBack"/>
      <w:bookmarkEnd w:id="2"/>
      <w:r>
        <w:rPr>
          <w:rFonts w:hint="eastAsia" w:ascii="黑体" w:hAnsi="黑体" w:eastAsia="黑体" w:cs="黑体"/>
          <w:color w:val="auto"/>
          <w:sz w:val="32"/>
          <w:szCs w:val="32"/>
          <w:highlight w:val="none"/>
          <w:lang w:eastAsia="zh-CN"/>
        </w:rPr>
        <w:t>附件</w:t>
      </w:r>
    </w:p>
    <w:p>
      <w:pPr>
        <w:keepNext w:val="0"/>
        <w:keepLines w:val="0"/>
        <w:pageBreakBefore w:val="0"/>
        <w:widowControl w:val="0"/>
        <w:kinsoku/>
        <w:wordWrap/>
        <w:overflowPunct/>
        <w:topLinePunct w:val="0"/>
        <w:bidi w:val="0"/>
        <w:snapToGrid/>
        <w:spacing w:line="560" w:lineRule="exact"/>
        <w:jc w:val="center"/>
        <w:textAlignment w:val="auto"/>
        <w:outlineLvl w:val="9"/>
        <w:rPr>
          <w:rFonts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2022年上海市崇明区今冬明春安全隐患</w:t>
      </w:r>
    </w:p>
    <w:p>
      <w:pPr>
        <w:keepNext w:val="0"/>
        <w:keepLines w:val="0"/>
        <w:pageBreakBefore w:val="0"/>
        <w:widowControl w:val="0"/>
        <w:kinsoku/>
        <w:wordWrap/>
        <w:overflowPunct/>
        <w:topLinePunct w:val="0"/>
        <w:bidi w:val="0"/>
        <w:snapToGrid/>
        <w:spacing w:line="560" w:lineRule="exact"/>
        <w:jc w:val="center"/>
        <w:textAlignment w:val="auto"/>
        <w:outlineLvl w:val="9"/>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专项排查整治行动实施方案</w:t>
      </w:r>
    </w:p>
    <w:p>
      <w:pPr>
        <w:keepNext w:val="0"/>
        <w:keepLines w:val="0"/>
        <w:pageBreakBefore w:val="0"/>
        <w:widowControl w:val="0"/>
        <w:kinsoku/>
        <w:wordWrap/>
        <w:overflowPunct/>
        <w:topLinePunct w:val="0"/>
        <w:bidi w:val="0"/>
        <w:snapToGrid/>
        <w:spacing w:line="560" w:lineRule="exact"/>
        <w:ind w:firstLine="624" w:firstLineChars="200"/>
        <w:textAlignment w:val="auto"/>
        <w:outlineLvl w:val="9"/>
        <w:rPr>
          <w:rFonts w:ascii="Times New Roman" w:hAnsi="仿宋_GB2312" w:eastAsia="仿宋_GB2312" w:cs="仿宋_GB2312"/>
          <w:color w:val="auto"/>
          <w:sz w:val="32"/>
          <w:szCs w:val="32"/>
          <w:highlight w:val="none"/>
        </w:rPr>
      </w:pPr>
    </w:p>
    <w:p>
      <w:pPr>
        <w:keepNext w:val="0"/>
        <w:keepLines w:val="0"/>
        <w:pageBreakBefore w:val="0"/>
        <w:widowControl w:val="0"/>
        <w:kinsoku/>
        <w:wordWrap/>
        <w:overflowPunct/>
        <w:topLinePunct w:val="0"/>
        <w:bidi w:val="0"/>
        <w:snapToGrid/>
        <w:spacing w:line="560" w:lineRule="exact"/>
        <w:ind w:firstLine="624" w:firstLineChars="200"/>
        <w:textAlignment w:val="auto"/>
        <w:outlineLvl w:val="9"/>
        <w:rPr>
          <w:rFonts w:ascii="Times New Roman" w:hAnsi="仿宋_GB2312" w:eastAsia="仿宋_GB2312" w:cs="仿宋_GB2312"/>
          <w:color w:val="auto"/>
          <w:sz w:val="32"/>
          <w:szCs w:val="32"/>
          <w:highlight w:val="none"/>
        </w:rPr>
      </w:pPr>
      <w:r>
        <w:rPr>
          <w:rFonts w:hint="eastAsia" w:ascii="Times New Roman" w:hAnsi="仿宋_GB2312" w:eastAsia="仿宋_GB2312" w:cs="仿宋_GB2312"/>
          <w:color w:val="auto"/>
          <w:sz w:val="32"/>
          <w:szCs w:val="32"/>
          <w:highlight w:val="none"/>
        </w:rPr>
        <w:t>为认真贯彻落实习近平总书记关于做好安全生产工作的重要指示精神，</w:t>
      </w:r>
      <w:r>
        <w:rPr>
          <w:rFonts w:hint="eastAsia" w:ascii="Times New Roman" w:hAnsi="仿宋_GB2312" w:eastAsia="仿宋_GB2312" w:cs="仿宋_GB2312"/>
          <w:color w:val="auto"/>
          <w:sz w:val="32"/>
          <w:szCs w:val="32"/>
          <w:highlight w:val="none"/>
          <w:lang w:eastAsia="zh-CN"/>
        </w:rPr>
        <w:t>按照中央、本市切实做好岁末年初安全生产工作的部署要求，</w:t>
      </w:r>
      <w:r>
        <w:rPr>
          <w:rFonts w:hint="eastAsia" w:ascii="Times New Roman" w:hAnsi="仿宋_GB2312" w:eastAsia="仿宋_GB2312" w:cs="仿宋_GB2312"/>
          <w:color w:val="auto"/>
          <w:sz w:val="32"/>
          <w:szCs w:val="32"/>
          <w:highlight w:val="none"/>
        </w:rPr>
        <w:t>深刻</w:t>
      </w:r>
      <w:r>
        <w:rPr>
          <w:rFonts w:ascii="Times New Roman" w:hAnsi="仿宋_GB2312" w:eastAsia="仿宋_GB2312" w:cs="仿宋_GB2312"/>
          <w:color w:val="auto"/>
          <w:sz w:val="32"/>
          <w:szCs w:val="32"/>
          <w:highlight w:val="none"/>
        </w:rPr>
        <w:t>吸取</w:t>
      </w:r>
      <w:r>
        <w:rPr>
          <w:rFonts w:hint="eastAsia" w:ascii="Times New Roman" w:hAnsi="仿宋_GB2312" w:eastAsia="仿宋_GB2312" w:cs="仿宋_GB2312"/>
          <w:color w:val="auto"/>
          <w:sz w:val="32"/>
          <w:szCs w:val="32"/>
          <w:highlight w:val="none"/>
        </w:rPr>
        <w:t>近期</w:t>
      </w:r>
      <w:r>
        <w:rPr>
          <w:rFonts w:ascii="Times New Roman" w:hAnsi="仿宋_GB2312" w:eastAsia="仿宋_GB2312" w:cs="仿宋_GB2312"/>
          <w:color w:val="auto"/>
          <w:sz w:val="32"/>
          <w:szCs w:val="32"/>
          <w:highlight w:val="none"/>
        </w:rPr>
        <w:t>安全生产</w:t>
      </w:r>
      <w:r>
        <w:rPr>
          <w:rFonts w:hint="eastAsia" w:ascii="Times New Roman" w:hAnsi="仿宋_GB2312" w:eastAsia="仿宋_GB2312" w:cs="仿宋_GB2312"/>
          <w:color w:val="auto"/>
          <w:sz w:val="32"/>
          <w:szCs w:val="32"/>
          <w:highlight w:val="none"/>
        </w:rPr>
        <w:t>事故教训，压实安全生产责任，全面排查整治本区各类风险隐患，坚决防范和遏制重特大事故发生，根据《</w:t>
      </w:r>
      <w:r>
        <w:rPr>
          <w:rFonts w:hint="eastAsia" w:ascii="仿宋_GB2312" w:hAnsi="仿宋_GB2312" w:eastAsia="仿宋_GB2312" w:cs="仿宋_GB2312"/>
          <w:color w:val="auto"/>
          <w:sz w:val="32"/>
          <w:szCs w:val="32"/>
          <w:highlight w:val="none"/>
        </w:rPr>
        <w:t>2022年上海市今冬明春安全隐患专项排查整治行动方案》内容，</w:t>
      </w:r>
      <w:r>
        <w:rPr>
          <w:rFonts w:hint="eastAsia" w:ascii="Times New Roman" w:hAnsi="Times New Roman" w:eastAsia="仿宋_GB2312" w:cs="宋体"/>
          <w:color w:val="auto"/>
          <w:kern w:val="0"/>
          <w:sz w:val="32"/>
          <w:szCs w:val="32"/>
          <w:highlight w:val="none"/>
        </w:rPr>
        <w:t>结合</w:t>
      </w:r>
      <w:r>
        <w:rPr>
          <w:rFonts w:hint="eastAsia" w:ascii="Times New Roman" w:hAnsi="Times New Roman" w:eastAsia="仿宋_GB2312" w:cs="宋体"/>
          <w:color w:val="auto"/>
          <w:kern w:val="0"/>
          <w:sz w:val="32"/>
          <w:szCs w:val="32"/>
          <w:highlight w:val="none"/>
          <w:lang w:eastAsia="zh-CN"/>
        </w:rPr>
        <w:t>安全生产大检查“回头看”和</w:t>
      </w:r>
      <w:r>
        <w:rPr>
          <w:rFonts w:hint="eastAsia" w:ascii="Times New Roman" w:hAnsi="Times New Roman" w:eastAsia="仿宋_GB2312" w:cs="宋体"/>
          <w:color w:val="auto"/>
          <w:kern w:val="0"/>
          <w:sz w:val="32"/>
          <w:szCs w:val="32"/>
          <w:highlight w:val="none"/>
        </w:rPr>
        <w:t>安全生产专项整治三年行动巩固提升工作要求，</w:t>
      </w:r>
      <w:r>
        <w:rPr>
          <w:rFonts w:hint="eastAsia" w:ascii="Times New Roman" w:hAnsi="Times New Roman" w:eastAsia="仿宋_GB2312" w:cs="????_GB18030"/>
          <w:color w:val="auto"/>
          <w:sz w:val="32"/>
          <w:szCs w:val="32"/>
          <w:highlight w:val="none"/>
        </w:rPr>
        <w:t>特制定本区实施方案。</w:t>
      </w:r>
    </w:p>
    <w:p>
      <w:pPr>
        <w:keepNext w:val="0"/>
        <w:keepLines w:val="0"/>
        <w:pageBreakBefore w:val="0"/>
        <w:widowControl w:val="0"/>
        <w:shd w:val="clear"/>
        <w:kinsoku/>
        <w:wordWrap/>
        <w:overflowPunct/>
        <w:topLinePunct w:val="0"/>
        <w:bidi w:val="0"/>
        <w:snapToGrid/>
        <w:spacing w:line="560" w:lineRule="exact"/>
        <w:ind w:firstLine="624" w:firstLineChars="200"/>
        <w:textAlignment w:val="auto"/>
        <w:outlineLvl w:val="9"/>
        <w:rPr>
          <w:rFonts w:hint="eastAsia" w:ascii="黑体" w:hAnsi="黑体" w:eastAsia="黑体" w:cs="黑体"/>
          <w:color w:val="auto"/>
          <w:kern w:val="2"/>
          <w:sz w:val="32"/>
          <w:szCs w:val="32"/>
        </w:rPr>
      </w:pPr>
      <w:r>
        <w:rPr>
          <w:rFonts w:hint="eastAsia" w:ascii="黑体" w:hAnsi="黑体" w:eastAsia="黑体" w:cs="黑体"/>
          <w:color w:val="auto"/>
          <w:kern w:val="2"/>
          <w:sz w:val="32"/>
          <w:szCs w:val="32"/>
        </w:rPr>
        <w:t>一、总体要求</w:t>
      </w:r>
    </w:p>
    <w:p>
      <w:pPr>
        <w:keepNext w:val="0"/>
        <w:keepLines w:val="0"/>
        <w:pageBreakBefore w:val="0"/>
        <w:widowControl w:val="0"/>
        <w:shd w:val="clear"/>
        <w:kinsoku/>
        <w:wordWrap/>
        <w:overflowPunct/>
        <w:topLinePunct w:val="0"/>
        <w:bidi w:val="0"/>
        <w:snapToGrid/>
        <w:spacing w:line="560" w:lineRule="exact"/>
        <w:ind w:firstLine="624" w:firstLineChars="200"/>
        <w:textAlignment w:val="auto"/>
        <w:outlineLvl w:val="9"/>
        <w:rPr>
          <w:rFonts w:hint="eastAsia" w:ascii="仿宋_GB2312" w:hAnsi="仿宋_GB2312" w:eastAsia="仿宋_GB2312" w:cs="仿宋_GB2312"/>
          <w:color w:val="auto"/>
          <w:kern w:val="2"/>
          <w:sz w:val="32"/>
          <w:szCs w:val="32"/>
        </w:rPr>
      </w:pPr>
      <w:bookmarkStart w:id="0" w:name="_Hlk100164626"/>
      <w:r>
        <w:rPr>
          <w:rFonts w:hint="eastAsia" w:ascii="仿宋_GB2312" w:hAnsi="仿宋_GB2312" w:eastAsia="仿宋_GB2312" w:cs="仿宋_GB2312"/>
          <w:color w:val="auto"/>
          <w:kern w:val="2"/>
          <w:sz w:val="32"/>
          <w:szCs w:val="32"/>
        </w:rPr>
        <w:t>以习近平新时代中国特色社会主义思想为指导，全面贯彻党的二十大精神，深入贯彻习近平总书记关于安全生产重要论述，坚持“人民至上、生命至上”，持续落实国务院安委会“十五条硬措施</w:t>
      </w:r>
      <w:r>
        <w:rPr>
          <w:rFonts w:hint="eastAsia" w:ascii="仿宋_GB2312" w:hAnsi="仿宋_GB2312" w:eastAsia="仿宋_GB2312" w:cs="仿宋_GB2312"/>
          <w:color w:val="auto"/>
          <w:kern w:val="2"/>
          <w:sz w:val="32"/>
          <w:szCs w:val="32"/>
          <w:highlight w:val="none"/>
        </w:rPr>
        <w:t>”、“</w:t>
      </w:r>
      <w:r>
        <w:rPr>
          <w:rFonts w:hint="eastAsia" w:ascii="仿宋_GB2312" w:hAnsi="仿宋_GB2312" w:eastAsia="仿宋_GB2312" w:cs="仿宋_GB2312"/>
          <w:color w:val="auto"/>
          <w:kern w:val="2"/>
          <w:sz w:val="32"/>
          <w:szCs w:val="32"/>
          <w:highlight w:val="none"/>
          <w:lang w:eastAsia="zh-CN"/>
        </w:rPr>
        <w:t>市安委会</w:t>
      </w:r>
      <w:r>
        <w:rPr>
          <w:rFonts w:hint="eastAsia" w:ascii="仿宋_GB2312" w:hAnsi="仿宋_GB2312" w:eastAsia="仿宋_GB2312" w:cs="仿宋_GB2312"/>
          <w:color w:val="auto"/>
          <w:kern w:val="2"/>
          <w:sz w:val="32"/>
          <w:szCs w:val="32"/>
          <w:highlight w:val="none"/>
        </w:rPr>
        <w:t>安全生产78条”</w:t>
      </w:r>
      <w:r>
        <w:rPr>
          <w:rFonts w:hint="eastAsia" w:ascii="仿宋_GB2312" w:hAnsi="仿宋_GB2312" w:eastAsia="仿宋_GB2312" w:cs="仿宋_GB2312"/>
          <w:color w:val="auto"/>
          <w:kern w:val="2"/>
          <w:sz w:val="32"/>
          <w:szCs w:val="32"/>
          <w:highlight w:val="none"/>
          <w:lang w:eastAsia="zh-CN"/>
        </w:rPr>
        <w:t>创新举措</w:t>
      </w:r>
      <w:r>
        <w:rPr>
          <w:rFonts w:hint="eastAsia" w:ascii="仿宋_GB2312" w:hAnsi="仿宋_GB2312" w:eastAsia="仿宋_GB2312" w:cs="仿宋_GB2312"/>
          <w:color w:val="auto"/>
          <w:kern w:val="2"/>
          <w:sz w:val="32"/>
          <w:szCs w:val="32"/>
          <w:highlight w:val="none"/>
        </w:rPr>
        <w:t>和“区安全生产81条</w:t>
      </w:r>
      <w:r>
        <w:rPr>
          <w:rFonts w:hint="eastAsia" w:ascii="仿宋_GB2312" w:hAnsi="仿宋_GB2312" w:eastAsia="仿宋_GB2312" w:cs="仿宋_GB2312"/>
          <w:color w:val="auto"/>
          <w:kern w:val="2"/>
          <w:sz w:val="32"/>
          <w:szCs w:val="32"/>
          <w:highlight w:val="none"/>
          <w:lang w:eastAsia="zh-CN"/>
        </w:rPr>
        <w:t>”</w:t>
      </w:r>
      <w:r>
        <w:rPr>
          <w:rFonts w:hint="eastAsia" w:ascii="仿宋_GB2312" w:hAnsi="仿宋_GB2312" w:eastAsia="仿宋_GB2312" w:cs="仿宋_GB2312"/>
          <w:color w:val="auto"/>
          <w:kern w:val="2"/>
          <w:sz w:val="32"/>
          <w:szCs w:val="32"/>
          <w:highlight w:val="none"/>
        </w:rPr>
        <w:t>具体举措，</w:t>
      </w:r>
      <w:r>
        <w:rPr>
          <w:rFonts w:hint="eastAsia" w:ascii="仿宋_GB2312" w:hAnsi="仿宋_GB2312" w:eastAsia="仿宋_GB2312" w:cs="仿宋_GB2312"/>
          <w:color w:val="auto"/>
          <w:spacing w:val="11"/>
          <w:sz w:val="32"/>
          <w:szCs w:val="32"/>
          <w:highlight w:val="none"/>
        </w:rPr>
        <w:t>深刻</w:t>
      </w:r>
      <w:r>
        <w:rPr>
          <w:rFonts w:hint="eastAsia" w:ascii="仿宋_GB2312" w:hAnsi="仿宋_GB2312" w:eastAsia="仿宋_GB2312" w:cs="仿宋_GB2312"/>
          <w:color w:val="auto"/>
          <w:spacing w:val="11"/>
          <w:sz w:val="32"/>
          <w:szCs w:val="32"/>
        </w:rPr>
        <w:t>汲取河南安阳</w:t>
      </w:r>
      <w:r>
        <w:rPr>
          <w:rFonts w:hint="eastAsia" w:ascii="仿宋_GB2312" w:hAnsi="仿宋_GB2312" w:eastAsia="仿宋_GB2312" w:cs="仿宋_GB2312"/>
          <w:color w:val="auto"/>
          <w:spacing w:val="11"/>
          <w:sz w:val="32"/>
          <w:szCs w:val="32"/>
          <w:lang w:eastAsia="zh-CN"/>
        </w:rPr>
        <w:t>“</w:t>
      </w:r>
      <w:r>
        <w:rPr>
          <w:rFonts w:hint="eastAsia" w:ascii="仿宋_GB2312" w:hAnsi="仿宋_GB2312" w:eastAsia="仿宋_GB2312" w:cs="仿宋_GB2312"/>
          <w:color w:val="auto"/>
          <w:spacing w:val="11"/>
          <w:sz w:val="32"/>
          <w:szCs w:val="32"/>
          <w:lang w:val="en-US" w:eastAsia="zh-CN"/>
        </w:rPr>
        <w:t>11·21</w:t>
      </w:r>
      <w:r>
        <w:rPr>
          <w:rFonts w:hint="eastAsia" w:ascii="仿宋_GB2312" w:hAnsi="仿宋_GB2312" w:eastAsia="仿宋_GB2312" w:cs="仿宋_GB2312"/>
          <w:color w:val="auto"/>
          <w:spacing w:val="11"/>
          <w:sz w:val="32"/>
          <w:szCs w:val="32"/>
          <w:lang w:eastAsia="zh-CN"/>
        </w:rPr>
        <w:t>”</w:t>
      </w:r>
      <w:r>
        <w:rPr>
          <w:rFonts w:hint="eastAsia" w:ascii="仿宋_GB2312" w:hAnsi="仿宋_GB2312" w:eastAsia="仿宋_GB2312" w:cs="仿宋_GB2312"/>
          <w:color w:val="auto"/>
          <w:spacing w:val="11"/>
          <w:sz w:val="32"/>
          <w:szCs w:val="32"/>
        </w:rPr>
        <w:t>特别重大火灾等安全生产事故教</w:t>
      </w:r>
      <w:r>
        <w:rPr>
          <w:rFonts w:hint="eastAsia" w:ascii="仿宋_GB2312" w:hAnsi="仿宋_GB2312" w:eastAsia="仿宋_GB2312" w:cs="仿宋_GB2312"/>
          <w:color w:val="auto"/>
          <w:sz w:val="32"/>
          <w:szCs w:val="32"/>
        </w:rPr>
        <w:t>训，</w:t>
      </w:r>
      <w:r>
        <w:rPr>
          <w:rFonts w:hint="eastAsia" w:ascii="仿宋_GB2312" w:hAnsi="仿宋_GB2312" w:eastAsia="仿宋_GB2312" w:cs="仿宋_GB2312"/>
          <w:color w:val="auto"/>
          <w:kern w:val="2"/>
          <w:sz w:val="32"/>
          <w:szCs w:val="32"/>
        </w:rPr>
        <w:t>科学统筹发展和安全，出实招、出硬招、出新招，全面排查各类城乡风险隐患，全部上账、即查即改，切实落实各级安全生产责任，确保城乡安全运行，推动安全生产治理能力、本质安全水平新提升，</w:t>
      </w:r>
      <w:r>
        <w:rPr>
          <w:rFonts w:hint="eastAsia" w:ascii="仿宋_GB2312" w:hAnsi="仿宋_GB2312" w:eastAsia="仿宋_GB2312" w:cs="仿宋_GB2312"/>
          <w:color w:val="auto"/>
          <w:sz w:val="32"/>
          <w:szCs w:val="32"/>
        </w:rPr>
        <w:t>为全区人民欢度元旦春节以及全国、市、区“两会”胜利召开营造良好的安全环境</w:t>
      </w:r>
      <w:r>
        <w:rPr>
          <w:rFonts w:hint="eastAsia" w:ascii="仿宋_GB2312" w:hAnsi="仿宋_GB2312" w:eastAsia="仿宋_GB2312" w:cs="仿宋_GB2312"/>
          <w:color w:val="auto"/>
          <w:kern w:val="2"/>
          <w:sz w:val="32"/>
          <w:szCs w:val="32"/>
        </w:rPr>
        <w:t>。</w:t>
      </w:r>
    </w:p>
    <w:bookmarkEnd w:id="0"/>
    <w:p>
      <w:pPr>
        <w:keepNext w:val="0"/>
        <w:keepLines w:val="0"/>
        <w:pageBreakBefore w:val="0"/>
        <w:widowControl w:val="0"/>
        <w:shd w:val="clear"/>
        <w:kinsoku/>
        <w:wordWrap/>
        <w:overflowPunct/>
        <w:topLinePunct w:val="0"/>
        <w:bidi w:val="0"/>
        <w:snapToGrid/>
        <w:spacing w:line="560" w:lineRule="exact"/>
        <w:ind w:firstLine="624" w:firstLineChars="200"/>
        <w:textAlignment w:val="auto"/>
        <w:outlineLvl w:val="9"/>
        <w:rPr>
          <w:rFonts w:hint="eastAsia" w:ascii="黑体" w:hAnsi="黑体" w:eastAsia="黑体" w:cs="黑体"/>
          <w:color w:val="auto"/>
          <w:kern w:val="2"/>
          <w:sz w:val="32"/>
          <w:szCs w:val="32"/>
        </w:rPr>
      </w:pPr>
      <w:r>
        <w:rPr>
          <w:rFonts w:hint="eastAsia" w:ascii="黑体" w:hAnsi="黑体" w:eastAsia="黑体" w:cs="黑体"/>
          <w:color w:val="auto"/>
          <w:kern w:val="2"/>
          <w:sz w:val="32"/>
          <w:szCs w:val="32"/>
        </w:rPr>
        <w:t>二、排查整治重点</w:t>
      </w:r>
    </w:p>
    <w:p>
      <w:pPr>
        <w:keepNext w:val="0"/>
        <w:keepLines w:val="0"/>
        <w:pageBreakBefore w:val="0"/>
        <w:widowControl w:val="0"/>
        <w:shd w:val="clear"/>
        <w:kinsoku/>
        <w:wordWrap/>
        <w:overflowPunct/>
        <w:topLinePunct w:val="0"/>
        <w:bidi w:val="0"/>
        <w:snapToGrid/>
        <w:spacing w:line="560" w:lineRule="exact"/>
        <w:ind w:firstLine="624" w:firstLineChars="200"/>
        <w:textAlignment w:val="auto"/>
        <w:outlineLvl w:val="9"/>
        <w:rPr>
          <w:rFonts w:hint="eastAsia" w:ascii="仿宋_GB2312" w:hAnsi="仿宋_GB2312" w:eastAsia="仿宋_GB2312" w:cs="仿宋_GB2312"/>
          <w:b w:val="0"/>
          <w:color w:val="auto"/>
          <w:kern w:val="2"/>
          <w:sz w:val="32"/>
          <w:szCs w:val="32"/>
        </w:rPr>
      </w:pPr>
      <w:r>
        <w:rPr>
          <w:rFonts w:hint="eastAsia" w:ascii="仿宋_GB2312" w:hAnsi="仿宋_GB2312" w:eastAsia="仿宋_GB2312" w:cs="仿宋_GB2312"/>
          <w:bCs w:val="0"/>
          <w:color w:val="auto"/>
          <w:sz w:val="32"/>
          <w:szCs w:val="32"/>
        </w:rPr>
        <w:t>这次专项排查整治包括两个方面。</w:t>
      </w:r>
      <w:r>
        <w:rPr>
          <w:rFonts w:hint="eastAsia" w:ascii="仿宋_GB2312" w:hAnsi="仿宋_GB2312" w:eastAsia="仿宋_GB2312" w:cs="仿宋_GB2312"/>
          <w:b/>
          <w:bCs/>
          <w:color w:val="auto"/>
          <w:sz w:val="32"/>
          <w:szCs w:val="32"/>
        </w:rPr>
        <w:t>一方面</w:t>
      </w:r>
      <w:r>
        <w:rPr>
          <w:rFonts w:hint="eastAsia" w:ascii="仿宋_GB2312" w:hAnsi="仿宋_GB2312" w:eastAsia="仿宋_GB2312" w:cs="仿宋_GB2312"/>
          <w:b/>
          <w:bCs/>
          <w:color w:val="auto"/>
          <w:sz w:val="32"/>
          <w:szCs w:val="32"/>
          <w:lang w:val="en-US" w:eastAsia="zh-CN"/>
        </w:rPr>
        <w:t>，</w:t>
      </w:r>
      <w:r>
        <w:rPr>
          <w:rFonts w:hint="eastAsia" w:ascii="仿宋_GB2312" w:hAnsi="仿宋_GB2312" w:eastAsia="仿宋_GB2312" w:cs="仿宋_GB2312"/>
          <w:bCs w:val="0"/>
          <w:color w:val="auto"/>
          <w:sz w:val="32"/>
          <w:szCs w:val="32"/>
        </w:rPr>
        <w:t>检查乡镇人民政府是否承担起“促一方发展、保一方平安”的政治责任，统筹做好发展和安全各项工作任务，把经济发展、疫情防控和安全生产工作一体谋划、一体部署、一体落实，做到“疫情要防住、经济要稳住、发展要安全”</w:t>
      </w:r>
      <w:r>
        <w:rPr>
          <w:rFonts w:hint="eastAsia" w:ascii="仿宋_GB2312" w:hAnsi="仿宋_GB2312" w:eastAsia="仿宋_GB2312" w:cs="仿宋_GB2312"/>
          <w:bCs w:val="0"/>
          <w:color w:val="auto"/>
          <w:sz w:val="32"/>
          <w:szCs w:val="32"/>
          <w:lang w:eastAsia="zh-CN"/>
        </w:rPr>
        <w:t>；</w:t>
      </w:r>
      <w:r>
        <w:rPr>
          <w:rFonts w:hint="eastAsia" w:ascii="仿宋_GB2312" w:hAnsi="仿宋_GB2312" w:eastAsia="仿宋_GB2312" w:cs="仿宋_GB2312"/>
          <w:bCs w:val="0"/>
          <w:color w:val="auto"/>
          <w:sz w:val="32"/>
          <w:szCs w:val="32"/>
        </w:rPr>
        <w:t>各乡镇、各部门、各单位是否全面落实</w:t>
      </w:r>
      <w:r>
        <w:rPr>
          <w:rFonts w:hint="eastAsia" w:ascii="仿宋_GB2312" w:hAnsi="仿宋_GB2312" w:eastAsia="仿宋_GB2312" w:cs="仿宋_GB2312"/>
          <w:color w:val="auto"/>
          <w:kern w:val="2"/>
          <w:sz w:val="32"/>
          <w:szCs w:val="32"/>
        </w:rPr>
        <w:t>国务院安委会“十五条硬措施”、</w:t>
      </w:r>
      <w:r>
        <w:rPr>
          <w:rFonts w:hint="eastAsia" w:ascii="仿宋_GB2312" w:hAnsi="仿宋_GB2312" w:eastAsia="仿宋_GB2312" w:cs="仿宋_GB2312"/>
          <w:bCs w:val="0"/>
          <w:color w:val="auto"/>
          <w:sz w:val="32"/>
          <w:szCs w:val="32"/>
        </w:rPr>
        <w:t>“市安委会安全生产78条”创新举措和</w:t>
      </w:r>
      <w:r>
        <w:rPr>
          <w:rFonts w:hint="eastAsia" w:ascii="仿宋_GB2312" w:hAnsi="仿宋_GB2312" w:eastAsia="仿宋_GB2312" w:cs="仿宋_GB2312"/>
          <w:bCs w:val="0"/>
          <w:color w:val="auto"/>
          <w:sz w:val="32"/>
          <w:szCs w:val="32"/>
          <w:highlight w:val="none"/>
        </w:rPr>
        <w:t>区安委会印发</w:t>
      </w:r>
      <w:r>
        <w:rPr>
          <w:rFonts w:hint="eastAsia" w:ascii="仿宋_GB2312" w:hAnsi="仿宋_GB2312" w:eastAsia="仿宋_GB2312" w:cs="仿宋_GB2312"/>
          <w:bCs w:val="0"/>
          <w:color w:val="auto"/>
          <w:sz w:val="32"/>
          <w:szCs w:val="32"/>
          <w:highlight w:val="none"/>
          <w:lang w:eastAsia="zh-CN"/>
        </w:rPr>
        <w:t>的《</w:t>
      </w:r>
      <w:r>
        <w:rPr>
          <w:rFonts w:hint="eastAsia" w:ascii="仿宋_GB2312" w:hAnsi="仿宋_GB2312" w:eastAsia="仿宋_GB2312" w:cs="仿宋_GB2312"/>
          <w:bCs w:val="0"/>
          <w:color w:val="auto"/>
          <w:sz w:val="32"/>
          <w:szCs w:val="32"/>
          <w:highlight w:val="none"/>
        </w:rPr>
        <w:t>关于进一步强化安全生产责任落实坚决防范遏制重特大事故的81条具体措施》（沪崇安委会〔2022〕4号）</w:t>
      </w:r>
      <w:r>
        <w:rPr>
          <w:rFonts w:hint="eastAsia" w:ascii="仿宋_GB2312" w:hAnsi="仿宋_GB2312" w:eastAsia="仿宋_GB2312" w:cs="仿宋_GB2312"/>
          <w:bCs w:val="0"/>
          <w:color w:val="auto"/>
          <w:sz w:val="32"/>
          <w:szCs w:val="32"/>
          <w:highlight w:val="none"/>
          <w:lang w:eastAsia="zh-CN"/>
        </w:rPr>
        <w:t>。</w:t>
      </w:r>
      <w:r>
        <w:rPr>
          <w:rFonts w:hint="eastAsia" w:ascii="仿宋_GB2312" w:hAnsi="仿宋_GB2312" w:eastAsia="仿宋_GB2312" w:cs="仿宋_GB2312"/>
          <w:b/>
          <w:bCs/>
          <w:color w:val="auto"/>
          <w:sz w:val="32"/>
          <w:szCs w:val="32"/>
        </w:rPr>
        <w:t>另一方面</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Cs w:val="0"/>
          <w:color w:val="auto"/>
          <w:sz w:val="32"/>
          <w:szCs w:val="32"/>
        </w:rPr>
        <w:t>结合安全生产专项整治三年行动“八个巩固提升”</w:t>
      </w:r>
      <w:r>
        <w:rPr>
          <w:rFonts w:hint="eastAsia" w:ascii="楷体_GB2312" w:hAnsi="楷体_GB2312" w:eastAsia="楷体_GB2312" w:cs="楷体_GB2312"/>
          <w:bCs w:val="0"/>
          <w:color w:val="auto"/>
          <w:sz w:val="32"/>
          <w:szCs w:val="32"/>
          <w:u w:val="none"/>
        </w:rPr>
        <w:t>（1.巩固学习习近平总书记关于安全生产重要论述成效，提升政治自觉思想自觉行动自觉；2.巩固安全生产责任体系建设成效，提升落实能力；3.巩固企业安全风险防控体系建设成效，提升安全保障能力；4.巩固安全隐患“动态清零”成效，提升事故防范能力；5.巩固安全监管执法体系建设成效，提升执法能力；6.巩固安全生产基层体系建设成效，提升基层治理能力；7.巩固安全生产宣传教育培训成效，提升整体安全素质；8.巩固应急救援体系建设成效，提升应急处置能力）</w:t>
      </w:r>
      <w:r>
        <w:rPr>
          <w:rFonts w:hint="eastAsia" w:ascii="仿宋_GB2312" w:hAnsi="仿宋_GB2312" w:eastAsia="仿宋_GB2312" w:cs="仿宋_GB2312"/>
          <w:bCs w:val="0"/>
          <w:color w:val="auto"/>
          <w:sz w:val="32"/>
          <w:szCs w:val="32"/>
        </w:rPr>
        <w:t>，立足冬季安全生产规律和特点，对全区所有地区、所有行业领域、所有生产经营企事业单位和人员密集场所（以下简称“各单位”）开展全面、深入、彻底的安全生产风险隐患专项排查整治，只要涉及城乡重大安全风险、安全运行的重要行业领域都要拉网式排查一遍，实现“全覆盖”。具体包括：</w:t>
      </w:r>
    </w:p>
    <w:p>
      <w:pPr>
        <w:keepNext w:val="0"/>
        <w:keepLines w:val="0"/>
        <w:pageBreakBefore w:val="0"/>
        <w:widowControl w:val="0"/>
        <w:shd w:val="clear"/>
        <w:kinsoku/>
        <w:wordWrap/>
        <w:overflowPunct/>
        <w:topLinePunct w:val="0"/>
        <w:bidi w:val="0"/>
        <w:snapToGrid/>
        <w:spacing w:line="560" w:lineRule="exact"/>
        <w:ind w:firstLine="627" w:firstLineChars="200"/>
        <w:textAlignment w:val="auto"/>
        <w:outlineLvl w:val="9"/>
        <w:rPr>
          <w:rFonts w:hint="eastAsia" w:ascii="仿宋_GB2312" w:hAnsi="仿宋_GB2312" w:eastAsia="仿宋_GB2312" w:cs="仿宋_GB2312"/>
          <w:b/>
          <w:bCs/>
          <w:color w:val="auto"/>
          <w:sz w:val="32"/>
          <w:szCs w:val="32"/>
        </w:rPr>
      </w:pPr>
      <w:r>
        <w:rPr>
          <w:rFonts w:hint="eastAsia" w:ascii="楷体_GB2312" w:hAnsi="楷体_GB2312" w:eastAsia="楷体_GB2312" w:cs="楷体_GB2312"/>
          <w:b/>
          <w:bCs/>
          <w:color w:val="auto"/>
          <w:sz w:val="32"/>
          <w:szCs w:val="32"/>
        </w:rPr>
        <w:t>（一）重点工贸领域</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b w:val="0"/>
          <w:bCs w:val="0"/>
          <w:color w:val="auto"/>
          <w:sz w:val="32"/>
          <w:szCs w:val="32"/>
          <w:lang w:eastAsia="zh-CN"/>
        </w:rPr>
        <w:t>进一步巩固工贸“百日清零”行动成果，</w:t>
      </w:r>
      <w:r>
        <w:rPr>
          <w:rFonts w:hint="eastAsia" w:ascii="仿宋_GB2312" w:hAnsi="仿宋_GB2312" w:eastAsia="仿宋_GB2312" w:cs="仿宋_GB2312"/>
          <w:color w:val="auto"/>
          <w:kern w:val="2"/>
          <w:sz w:val="32"/>
          <w:szCs w:val="32"/>
        </w:rPr>
        <w:t>重点排查前期对金属冶炼企业排查出的隐患和问题整改</w:t>
      </w:r>
      <w:r>
        <w:rPr>
          <w:rFonts w:hint="eastAsia" w:ascii="仿宋_GB2312" w:hAnsi="仿宋_GB2312" w:eastAsia="仿宋_GB2312" w:cs="仿宋_GB2312"/>
          <w:color w:val="auto"/>
          <w:kern w:val="2"/>
          <w:sz w:val="32"/>
          <w:szCs w:val="32"/>
          <w:lang w:eastAsia="zh-CN"/>
        </w:rPr>
        <w:t>情况</w:t>
      </w:r>
      <w:r>
        <w:rPr>
          <w:rFonts w:hint="eastAsia" w:ascii="仿宋_GB2312" w:hAnsi="仿宋_GB2312" w:eastAsia="仿宋_GB2312" w:cs="仿宋_GB2312"/>
          <w:color w:val="auto"/>
          <w:kern w:val="2"/>
          <w:sz w:val="32"/>
          <w:szCs w:val="32"/>
        </w:rPr>
        <w:t>，持续</w:t>
      </w:r>
      <w:r>
        <w:rPr>
          <w:rFonts w:hint="eastAsia" w:ascii="仿宋_GB2312" w:hAnsi="仿宋_GB2312" w:eastAsia="仿宋_GB2312" w:cs="仿宋_GB2312"/>
          <w:color w:val="auto"/>
          <w:sz w:val="32"/>
          <w:szCs w:val="32"/>
        </w:rPr>
        <w:t>深化工贸行业企业粉尘防爆治理和有限空间作业条件确认，整改涉氨制冷企业液氨使用专项治理遗留问题和隐患情况等。加强海洋装备企业安全监管，紧盯</w:t>
      </w:r>
      <w:r>
        <w:rPr>
          <w:rFonts w:hint="eastAsia" w:ascii="仿宋_GB2312" w:hAnsi="仿宋_GB2312" w:eastAsia="仿宋_GB2312" w:cs="仿宋_GB2312"/>
          <w:color w:val="auto"/>
          <w:sz w:val="32"/>
          <w:szCs w:val="32"/>
          <w:lang w:eastAsia="zh-CN"/>
        </w:rPr>
        <w:t>大型</w:t>
      </w:r>
      <w:r>
        <w:rPr>
          <w:rFonts w:hint="eastAsia" w:ascii="仿宋_GB2312" w:hAnsi="仿宋_GB2312" w:eastAsia="仿宋_GB2312" w:cs="仿宋_GB2312"/>
          <w:color w:val="auto"/>
          <w:sz w:val="32"/>
          <w:szCs w:val="32"/>
        </w:rPr>
        <w:t>钢结构件起重、吊装、转运、装配定位</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高空、焊接作业等重点作业环节，开展事故隐患排查，确保整改闭环。</w:t>
      </w:r>
      <w:r>
        <w:rPr>
          <w:rFonts w:hint="eastAsia" w:ascii="仿宋_GB2312" w:hAnsi="仿宋_GB2312" w:eastAsia="仿宋_GB2312" w:cs="仿宋_GB2312"/>
          <w:b/>
          <w:bCs/>
          <w:color w:val="auto"/>
          <w:sz w:val="32"/>
          <w:szCs w:val="32"/>
        </w:rPr>
        <w:t>由区应急局牵头负责，相关乡镇、部门、区直属单位配合。</w:t>
      </w:r>
    </w:p>
    <w:p>
      <w:pPr>
        <w:keepNext w:val="0"/>
        <w:keepLines w:val="0"/>
        <w:pageBreakBefore w:val="0"/>
        <w:widowControl w:val="0"/>
        <w:shd w:val="clear"/>
        <w:kinsoku/>
        <w:wordWrap/>
        <w:overflowPunct/>
        <w:topLinePunct w:val="0"/>
        <w:bidi w:val="0"/>
        <w:snapToGrid/>
        <w:spacing w:line="560" w:lineRule="exact"/>
        <w:ind w:firstLine="627" w:firstLineChars="200"/>
        <w:textAlignment w:val="auto"/>
        <w:outlineLvl w:val="9"/>
        <w:rPr>
          <w:rFonts w:hint="eastAsia" w:ascii="仿宋_GB2312" w:hAnsi="仿宋_GB2312" w:eastAsia="仿宋_GB2312" w:cs="仿宋_GB2312"/>
          <w:b/>
          <w:bCs/>
          <w:color w:val="auto"/>
          <w:sz w:val="32"/>
          <w:szCs w:val="32"/>
        </w:rPr>
      </w:pPr>
      <w:r>
        <w:rPr>
          <w:rFonts w:hint="eastAsia" w:ascii="楷体_GB2312" w:hAnsi="楷体_GB2312" w:eastAsia="楷体_GB2312" w:cs="楷体_GB2312"/>
          <w:b/>
          <w:bCs/>
          <w:color w:val="auto"/>
          <w:sz w:val="32"/>
          <w:szCs w:val="32"/>
        </w:rPr>
        <w:t>（二）危险化学品领域</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重点排查危险化学品企业安全风险，</w:t>
      </w:r>
      <w:r>
        <w:rPr>
          <w:rFonts w:hint="eastAsia" w:ascii="仿宋_GB2312" w:hAnsi="仿宋_GB2312" w:eastAsia="仿宋_GB2312" w:cs="仿宋_GB2312"/>
          <w:bCs w:val="0"/>
          <w:color w:val="auto"/>
          <w:sz w:val="32"/>
          <w:szCs w:val="32"/>
        </w:rPr>
        <w:t>深化安全风险集中治理</w:t>
      </w:r>
      <w:r>
        <w:rPr>
          <w:rFonts w:hint="eastAsia" w:ascii="仿宋_GB2312" w:hAnsi="仿宋_GB2312" w:eastAsia="仿宋_GB2312" w:cs="仿宋_GB2312"/>
          <w:bCs w:val="0"/>
          <w:color w:val="auto"/>
          <w:sz w:val="32"/>
          <w:szCs w:val="32"/>
          <w:lang w:eastAsia="zh-CN"/>
        </w:rPr>
        <w:t>。</w:t>
      </w:r>
      <w:r>
        <w:rPr>
          <w:rFonts w:hint="eastAsia" w:ascii="仿宋_GB2312" w:hAnsi="仿宋_GB2312" w:eastAsia="仿宋_GB2312" w:cs="仿宋_GB2312"/>
          <w:color w:val="auto"/>
          <w:sz w:val="32"/>
          <w:szCs w:val="32"/>
        </w:rPr>
        <w:t>深化危险化学品企业罐区、重大危险源专项督导工作，强化危险化学品生产、储存、经营、使用、运输、处置等各环节安全监管等</w:t>
      </w:r>
      <w:r>
        <w:rPr>
          <w:rFonts w:hint="eastAsia" w:ascii="仿宋_GB2312" w:hAnsi="仿宋_GB2312" w:eastAsia="仿宋_GB2312" w:cs="仿宋_GB2312"/>
          <w:bCs w:val="0"/>
          <w:color w:val="auto"/>
          <w:sz w:val="32"/>
          <w:szCs w:val="32"/>
        </w:rPr>
        <w:t>，督促企业严格落实防冻、防凝、防滑、防火、防爆、防静电、防中毒等冬季防护措施。</w:t>
      </w:r>
      <w:r>
        <w:rPr>
          <w:rFonts w:hint="eastAsia" w:ascii="仿宋_GB2312" w:hAnsi="仿宋_GB2312" w:eastAsia="仿宋_GB2312" w:cs="仿宋_GB2312"/>
          <w:b/>
          <w:bCs/>
          <w:color w:val="auto"/>
          <w:sz w:val="32"/>
          <w:szCs w:val="32"/>
        </w:rPr>
        <w:t>由区应急局牵头负责，相关乡镇、部门、区直属单位配合。</w:t>
      </w:r>
    </w:p>
    <w:p>
      <w:pPr>
        <w:keepNext w:val="0"/>
        <w:keepLines w:val="0"/>
        <w:pageBreakBefore w:val="0"/>
        <w:widowControl w:val="0"/>
        <w:shd w:val="clear"/>
        <w:kinsoku/>
        <w:wordWrap/>
        <w:overflowPunct/>
        <w:topLinePunct w:val="0"/>
        <w:bidi w:val="0"/>
        <w:snapToGrid/>
        <w:spacing w:line="560" w:lineRule="exact"/>
        <w:ind w:firstLine="627" w:firstLineChars="200"/>
        <w:textAlignment w:val="auto"/>
        <w:outlineLvl w:val="9"/>
        <w:rPr>
          <w:rFonts w:hint="eastAsia" w:ascii="仿宋_GB2312" w:hAnsi="仿宋_GB2312" w:eastAsia="仿宋_GB2312" w:cs="仿宋_GB2312"/>
          <w:b/>
          <w:bCs/>
          <w:color w:val="auto"/>
          <w:sz w:val="32"/>
          <w:szCs w:val="32"/>
        </w:rPr>
      </w:pPr>
      <w:r>
        <w:rPr>
          <w:rFonts w:hint="eastAsia" w:ascii="楷体_GB2312" w:hAnsi="楷体_GB2312" w:eastAsia="楷体_GB2312" w:cs="楷体_GB2312"/>
          <w:b/>
          <w:bCs/>
          <w:color w:val="auto"/>
          <w:sz w:val="32"/>
          <w:szCs w:val="32"/>
        </w:rPr>
        <w:t>（三）消防领域</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bCs w:val="0"/>
          <w:color w:val="auto"/>
          <w:kern w:val="2"/>
          <w:sz w:val="32"/>
          <w:szCs w:val="32"/>
          <w:lang w:bidi="ar"/>
        </w:rPr>
        <w:t>重点组织排查人员密集场所、厂房仓库、物流仓储、易燃易爆单位、高层建筑等火灾高危单位，特别是对劳动密集型企业，要进行全面、严格、细致的消防检查，依法实行“五个一律”措施：对违反规定进行电焊等明火作业或者在具有火灾、爆炸危险场所使用明火的，一律对直接责任人和相关责任人依法采取强制措施；对占用、堵塞、封闭疏散通道、安全出口，拒不改正的，一律依法予以强制执行；对未经建设工程消防验收或者备案抽查不合格的建设工程，一律依法责令停止施工、停止使用；对存在的火灾隐患不及时消除可能严重威胁公共安全的，一律依法采取临时查封措施；对建筑消防设施损坏、不能正常运行、擅自关停，消防控制室人员无证上岗、不会操作设施设备的，一律依法从重处罚。要督促企业加强应急逃生培训教育和演练，年底前劳动密集型企业进行一次有针对性的应急逃生演练。</w:t>
      </w:r>
      <w:r>
        <w:rPr>
          <w:rFonts w:hint="eastAsia" w:ascii="仿宋_GB2312" w:hAnsi="仿宋_GB2312" w:eastAsia="仿宋_GB2312" w:cs="仿宋_GB2312"/>
          <w:b/>
          <w:bCs/>
          <w:color w:val="auto"/>
          <w:sz w:val="32"/>
          <w:szCs w:val="32"/>
        </w:rPr>
        <w:t>由区消防救援支队牵头负责，相关乡镇、部门、区直属单位配合。</w:t>
      </w:r>
    </w:p>
    <w:p>
      <w:pPr>
        <w:keepNext w:val="0"/>
        <w:keepLines w:val="0"/>
        <w:pageBreakBefore w:val="0"/>
        <w:widowControl w:val="0"/>
        <w:shd w:val="clear"/>
        <w:kinsoku/>
        <w:wordWrap/>
        <w:overflowPunct/>
        <w:topLinePunct w:val="0"/>
        <w:bidi w:val="0"/>
        <w:snapToGrid/>
        <w:spacing w:line="560" w:lineRule="exact"/>
        <w:ind w:firstLine="627" w:firstLineChars="200"/>
        <w:textAlignment w:val="auto"/>
        <w:outlineLvl w:val="9"/>
        <w:rPr>
          <w:rFonts w:hint="eastAsia" w:ascii="仿宋_GB2312" w:hAnsi="仿宋_GB2312" w:eastAsia="仿宋_GB2312" w:cs="仿宋_GB2312"/>
          <w:b/>
          <w:bCs/>
          <w:color w:val="auto"/>
          <w:sz w:val="32"/>
          <w:szCs w:val="32"/>
        </w:rPr>
      </w:pPr>
      <w:r>
        <w:rPr>
          <w:rFonts w:hint="eastAsia" w:ascii="楷体_GB2312" w:hAnsi="楷体_GB2312" w:eastAsia="楷体_GB2312" w:cs="楷体_GB2312"/>
          <w:b/>
          <w:bCs/>
          <w:color w:val="auto"/>
          <w:sz w:val="32"/>
          <w:szCs w:val="32"/>
        </w:rPr>
        <w:t>（四）交通运输领域</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bCs w:val="0"/>
          <w:color w:val="auto"/>
          <w:kern w:val="2"/>
          <w:sz w:val="32"/>
          <w:szCs w:val="32"/>
        </w:rPr>
        <w:t>重点</w:t>
      </w:r>
      <w:r>
        <w:rPr>
          <w:rFonts w:hint="eastAsia" w:ascii="仿宋_GB2312" w:hAnsi="仿宋_GB2312" w:eastAsia="仿宋_GB2312" w:cs="仿宋_GB2312"/>
          <w:bCs w:val="0"/>
          <w:color w:val="auto"/>
          <w:sz w:val="32"/>
          <w:szCs w:val="32"/>
          <w:shd w:val="clear"/>
        </w:rPr>
        <w:t>排查</w:t>
      </w:r>
      <w:r>
        <w:rPr>
          <w:rFonts w:hint="eastAsia" w:ascii="仿宋_GB2312" w:hAnsi="仿宋_GB2312" w:eastAsia="仿宋_GB2312" w:cs="仿宋_GB2312"/>
          <w:bCs w:val="0"/>
          <w:color w:val="auto"/>
          <w:sz w:val="32"/>
          <w:szCs w:val="32"/>
        </w:rPr>
        <w:t>道路安全隐患，治理公路危险路段，整治临水临河隐患道路、依法查处交通违法违规行为情况</w:t>
      </w:r>
      <w:r>
        <w:rPr>
          <w:rFonts w:hint="eastAsia" w:ascii="仿宋_GB2312" w:hAnsi="仿宋_GB2312" w:eastAsia="仿宋_GB2312" w:cs="仿宋_GB2312"/>
          <w:bCs w:val="0"/>
          <w:color w:val="auto"/>
          <w:sz w:val="32"/>
          <w:szCs w:val="32"/>
          <w:lang w:eastAsia="zh-CN"/>
        </w:rPr>
        <w:t>。</w:t>
      </w:r>
      <w:r>
        <w:rPr>
          <w:rFonts w:hint="eastAsia" w:ascii="仿宋_GB2312" w:hAnsi="仿宋_GB2312" w:eastAsia="仿宋_GB2312" w:cs="仿宋_GB2312"/>
          <w:bCs w:val="0"/>
          <w:color w:val="auto"/>
          <w:sz w:val="32"/>
          <w:szCs w:val="32"/>
        </w:rPr>
        <w:t>督促企业落实主体责任，严肃查处超限超载行为，加大对“两客一危一货”重点运输车辆检查力度，严处“三超一疲劳”、</w:t>
      </w:r>
      <w:r>
        <w:rPr>
          <w:rFonts w:hint="eastAsia" w:ascii="仿宋_GB2312" w:hAnsi="仿宋_GB2312" w:eastAsia="仿宋_GB2312" w:cs="仿宋_GB2312"/>
          <w:bCs w:val="0"/>
          <w:color w:val="auto"/>
          <w:sz w:val="32"/>
          <w:szCs w:val="32"/>
          <w:highlight w:val="none"/>
          <w:lang w:eastAsia="zh-CN"/>
        </w:rPr>
        <w:t>货</w:t>
      </w:r>
      <w:r>
        <w:rPr>
          <w:rFonts w:hint="eastAsia" w:ascii="仿宋_GB2312" w:hAnsi="仿宋_GB2312" w:eastAsia="仿宋_GB2312" w:cs="仿宋_GB2312"/>
          <w:bCs w:val="0"/>
          <w:color w:val="auto"/>
          <w:sz w:val="32"/>
          <w:szCs w:val="32"/>
          <w:lang w:eastAsia="zh-CN"/>
        </w:rPr>
        <w:t>车违法载人、</w:t>
      </w:r>
      <w:r>
        <w:rPr>
          <w:rFonts w:hint="eastAsia" w:ascii="仿宋_GB2312" w:hAnsi="仿宋_GB2312" w:eastAsia="仿宋_GB2312" w:cs="仿宋_GB2312"/>
          <w:bCs w:val="0"/>
          <w:color w:val="auto"/>
          <w:sz w:val="32"/>
          <w:szCs w:val="32"/>
        </w:rPr>
        <w:t>不按规定让行</w:t>
      </w:r>
      <w:r>
        <w:rPr>
          <w:rFonts w:hint="eastAsia" w:ascii="仿宋_GB2312" w:hAnsi="仿宋_GB2312" w:eastAsia="仿宋_GB2312" w:cs="仿宋_GB2312"/>
          <w:bCs w:val="0"/>
          <w:color w:val="auto"/>
          <w:sz w:val="32"/>
          <w:szCs w:val="32"/>
          <w:lang w:eastAsia="zh-CN"/>
        </w:rPr>
        <w:t>以及“黑客车”“黑校车”</w:t>
      </w:r>
      <w:r>
        <w:rPr>
          <w:rFonts w:hint="eastAsia" w:ascii="仿宋_GB2312" w:hAnsi="仿宋_GB2312" w:eastAsia="仿宋_GB2312" w:cs="仿宋_GB2312"/>
          <w:bCs w:val="0"/>
          <w:color w:val="auto"/>
          <w:sz w:val="32"/>
          <w:szCs w:val="32"/>
        </w:rPr>
        <w:t>等</w:t>
      </w:r>
      <w:r>
        <w:rPr>
          <w:rFonts w:hint="eastAsia" w:ascii="仿宋_GB2312" w:hAnsi="仿宋_GB2312" w:eastAsia="仿宋_GB2312" w:cs="仿宋_GB2312"/>
          <w:bCs w:val="0"/>
          <w:color w:val="auto"/>
          <w:sz w:val="32"/>
          <w:szCs w:val="32"/>
          <w:lang w:eastAsia="zh-CN"/>
        </w:rPr>
        <w:t>违法违规行为</w:t>
      </w:r>
      <w:r>
        <w:rPr>
          <w:rFonts w:hint="eastAsia" w:ascii="仿宋_GB2312" w:hAnsi="仿宋_GB2312" w:eastAsia="仿宋_GB2312" w:cs="仿宋_GB2312"/>
          <w:bCs w:val="0"/>
          <w:color w:val="auto"/>
          <w:sz w:val="32"/>
          <w:szCs w:val="32"/>
        </w:rPr>
        <w:t>，要持续严查电动自行车骑乘人不按规定佩戴安全头盔，行人闯红灯等易致祸违法行为，严防因乱致祸风险。要加强雨雪、冰冻、团雾等灾害天气交通安全管控，对桥梁隧道、客运枢纽场站等加强安全检查，狠抓运营安全，严防群死群伤事故。</w:t>
      </w:r>
      <w:r>
        <w:rPr>
          <w:rFonts w:hint="eastAsia" w:ascii="仿宋_GB2312" w:hAnsi="仿宋_GB2312" w:eastAsia="仿宋_GB2312" w:cs="仿宋_GB2312"/>
          <w:b/>
          <w:bCs/>
          <w:color w:val="auto"/>
          <w:sz w:val="32"/>
          <w:szCs w:val="32"/>
        </w:rPr>
        <w:t>由区公安分局、区交通委牵头负责，相关乡镇、部门、区直属单位配合。</w:t>
      </w:r>
    </w:p>
    <w:p>
      <w:pPr>
        <w:keepNext w:val="0"/>
        <w:keepLines w:val="0"/>
        <w:pageBreakBefore w:val="0"/>
        <w:widowControl w:val="0"/>
        <w:shd w:val="clear"/>
        <w:kinsoku/>
        <w:wordWrap/>
        <w:overflowPunct/>
        <w:topLinePunct w:val="0"/>
        <w:bidi w:val="0"/>
        <w:snapToGrid/>
        <w:spacing w:line="560" w:lineRule="exact"/>
        <w:ind w:firstLine="627" w:firstLineChars="200"/>
        <w:textAlignment w:val="auto"/>
        <w:outlineLvl w:val="9"/>
        <w:rPr>
          <w:rFonts w:hint="eastAsia" w:ascii="仿宋_GB2312" w:hAnsi="仿宋_GB2312" w:eastAsia="仿宋_GB2312" w:cs="仿宋_GB2312"/>
          <w:b w:val="0"/>
          <w:color w:val="auto"/>
          <w:sz w:val="32"/>
          <w:szCs w:val="32"/>
        </w:rPr>
      </w:pPr>
      <w:r>
        <w:rPr>
          <w:rFonts w:hint="eastAsia" w:ascii="楷体_GB2312" w:hAnsi="楷体_GB2312" w:eastAsia="楷体_GB2312" w:cs="楷体_GB2312"/>
          <w:b/>
          <w:bCs/>
          <w:color w:val="auto"/>
          <w:sz w:val="32"/>
          <w:szCs w:val="32"/>
        </w:rPr>
        <w:t>（五）水上交通领域</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重点排查</w:t>
      </w:r>
      <w:r>
        <w:rPr>
          <w:rFonts w:hint="eastAsia" w:ascii="仿宋_GB2312" w:hAnsi="仿宋_GB2312" w:eastAsia="仿宋_GB2312" w:cs="仿宋_GB2312"/>
          <w:color w:val="auto"/>
          <w:sz w:val="32"/>
          <w:szCs w:val="32"/>
          <w:lang w:eastAsia="zh-CN"/>
        </w:rPr>
        <w:t>治理“六区一线”重点水域和“四客一危”</w:t>
      </w:r>
      <w:r>
        <w:rPr>
          <w:rFonts w:hint="eastAsia" w:ascii="仿宋_GB2312" w:hAnsi="仿宋_GB2312" w:eastAsia="仿宋_GB2312" w:cs="仿宋_GB2312"/>
          <w:color w:val="auto"/>
          <w:sz w:val="32"/>
          <w:szCs w:val="32"/>
        </w:rPr>
        <w:t>（客渡船、高速客船、客滚船、旅游船、危险品运输船）等重点船舶安全隐患，严厉打击水上交通非法违法行为情况；加强对寒潮、大风、浓雾等恶劣天气的预防</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预警和预控工作，严格落实商渔船禁限航规定，督促各类船舶做好防风避风工作；</w:t>
      </w:r>
      <w:r>
        <w:rPr>
          <w:rFonts w:hint="eastAsia" w:ascii="仿宋_GB2312" w:hAnsi="仿宋_GB2312" w:eastAsia="仿宋_GB2312" w:cs="仿宋_GB2312"/>
          <w:color w:val="auto"/>
          <w:kern w:val="2"/>
          <w:sz w:val="32"/>
          <w:szCs w:val="32"/>
        </w:rPr>
        <w:t>深化央地联动治理体系，推进</w:t>
      </w:r>
      <w:r>
        <w:rPr>
          <w:rFonts w:hint="eastAsia" w:ascii="仿宋_GB2312" w:hAnsi="仿宋_GB2312" w:eastAsia="仿宋_GB2312" w:cs="仿宋_GB2312"/>
          <w:color w:val="auto"/>
          <w:sz w:val="32"/>
          <w:szCs w:val="32"/>
        </w:rPr>
        <w:t>相关涉水部门加强水上安全</w:t>
      </w:r>
      <w:r>
        <w:rPr>
          <w:rFonts w:hint="eastAsia" w:ascii="仿宋_GB2312" w:hAnsi="仿宋_GB2312" w:eastAsia="仿宋_GB2312" w:cs="仿宋_GB2312"/>
          <w:color w:val="auto"/>
          <w:kern w:val="2"/>
          <w:sz w:val="32"/>
          <w:szCs w:val="32"/>
        </w:rPr>
        <w:t>风险综合防范工作</w:t>
      </w:r>
      <w:r>
        <w:rPr>
          <w:rFonts w:hint="eastAsia" w:ascii="仿宋_GB2312" w:hAnsi="仿宋_GB2312" w:eastAsia="仿宋_GB2312" w:cs="仿宋_GB2312"/>
          <w:color w:val="auto"/>
          <w:sz w:val="32"/>
          <w:szCs w:val="32"/>
        </w:rPr>
        <w:t>等。</w:t>
      </w:r>
      <w:r>
        <w:rPr>
          <w:rFonts w:hint="eastAsia" w:ascii="仿宋_GB2312" w:hAnsi="仿宋_GB2312" w:eastAsia="仿宋_GB2312" w:cs="仿宋_GB2312"/>
          <w:b/>
          <w:bCs/>
          <w:color w:val="auto"/>
          <w:sz w:val="32"/>
          <w:szCs w:val="32"/>
        </w:rPr>
        <w:t>由区交通委、崇明海事局牵头负责，相关乡镇、部门、区直属单位配合。</w:t>
      </w:r>
    </w:p>
    <w:p>
      <w:pPr>
        <w:keepNext w:val="0"/>
        <w:keepLines w:val="0"/>
        <w:pageBreakBefore w:val="0"/>
        <w:widowControl w:val="0"/>
        <w:shd w:val="clear"/>
        <w:kinsoku/>
        <w:wordWrap/>
        <w:overflowPunct/>
        <w:topLinePunct w:val="0"/>
        <w:bidi w:val="0"/>
        <w:snapToGrid/>
        <w:spacing w:line="560" w:lineRule="exact"/>
        <w:ind w:firstLine="627" w:firstLineChars="200"/>
        <w:textAlignment w:val="auto"/>
        <w:outlineLvl w:val="9"/>
        <w:rPr>
          <w:rFonts w:hint="eastAsia" w:ascii="仿宋_GB2312" w:hAnsi="仿宋_GB2312" w:eastAsia="仿宋_GB2312" w:cs="仿宋_GB2312"/>
          <w:b/>
          <w:bCs/>
          <w:color w:val="auto"/>
          <w:sz w:val="32"/>
          <w:szCs w:val="32"/>
        </w:rPr>
      </w:pPr>
      <w:r>
        <w:rPr>
          <w:rFonts w:hint="eastAsia" w:ascii="楷体_GB2312" w:hAnsi="楷体_GB2312" w:eastAsia="楷体_GB2312" w:cs="楷体_GB2312"/>
          <w:b/>
          <w:bCs/>
          <w:color w:val="auto"/>
          <w:sz w:val="32"/>
          <w:szCs w:val="32"/>
        </w:rPr>
        <w:t>（六）烟花爆竹领域</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kern w:val="2"/>
          <w:sz w:val="32"/>
          <w:szCs w:val="32"/>
        </w:rPr>
        <w:t>重点</w:t>
      </w:r>
      <w:r>
        <w:rPr>
          <w:rFonts w:hint="eastAsia" w:ascii="仿宋_GB2312" w:hAnsi="仿宋_GB2312" w:eastAsia="仿宋_GB2312" w:cs="仿宋_GB2312"/>
          <w:color w:val="auto"/>
          <w:sz w:val="32"/>
          <w:szCs w:val="32"/>
          <w:shd w:val="clear"/>
        </w:rPr>
        <w:t>排查</w:t>
      </w:r>
      <w:r>
        <w:rPr>
          <w:rFonts w:hint="eastAsia" w:ascii="仿宋_GB2312" w:hAnsi="仿宋_GB2312" w:eastAsia="仿宋_GB2312" w:cs="仿宋_GB2312"/>
          <w:bCs w:val="0"/>
          <w:color w:val="auto"/>
          <w:kern w:val="2"/>
          <w:sz w:val="32"/>
          <w:szCs w:val="32"/>
          <w:lang w:bidi="ar"/>
        </w:rPr>
        <w:t>强化旺季安全监管，严厉打击非法生产经营运输、燃放烟花爆竹，坚决打击取缔不符合安全要求的非法违法零售店（点）</w:t>
      </w:r>
      <w:r>
        <w:rPr>
          <w:rFonts w:hint="eastAsia" w:ascii="仿宋_GB2312" w:hAnsi="仿宋_GB2312" w:eastAsia="仿宋_GB2312" w:cs="仿宋_GB2312"/>
          <w:color w:val="auto"/>
          <w:sz w:val="32"/>
          <w:szCs w:val="32"/>
        </w:rPr>
        <w:t>情况等。</w:t>
      </w:r>
      <w:r>
        <w:rPr>
          <w:rFonts w:hint="eastAsia" w:ascii="仿宋_GB2312" w:hAnsi="仿宋_GB2312" w:eastAsia="仿宋_GB2312" w:cs="仿宋_GB2312"/>
          <w:b/>
          <w:bCs/>
          <w:color w:val="auto"/>
          <w:sz w:val="32"/>
          <w:szCs w:val="32"/>
        </w:rPr>
        <w:t>由区应急局、区公安分局牵头负责，相关乡镇、部门、区直属单位配合。</w:t>
      </w:r>
    </w:p>
    <w:p>
      <w:pPr>
        <w:keepNext w:val="0"/>
        <w:keepLines w:val="0"/>
        <w:pageBreakBefore w:val="0"/>
        <w:widowControl w:val="0"/>
        <w:shd w:val="clear"/>
        <w:kinsoku/>
        <w:wordWrap/>
        <w:overflowPunct/>
        <w:topLinePunct w:val="0"/>
        <w:bidi w:val="0"/>
        <w:snapToGrid/>
        <w:spacing w:line="560" w:lineRule="exact"/>
        <w:ind w:firstLine="627" w:firstLineChars="200"/>
        <w:textAlignment w:val="auto"/>
        <w:outlineLvl w:val="9"/>
        <w:rPr>
          <w:rFonts w:hint="eastAsia" w:ascii="仿宋_GB2312" w:hAnsi="仿宋_GB2312" w:eastAsia="仿宋_GB2312" w:cs="仿宋_GB2312"/>
          <w:b w:val="0"/>
          <w:color w:val="auto"/>
          <w:sz w:val="32"/>
          <w:szCs w:val="32"/>
        </w:rPr>
      </w:pPr>
      <w:r>
        <w:rPr>
          <w:rFonts w:hint="eastAsia" w:ascii="楷体_GB2312" w:hAnsi="楷体_GB2312" w:eastAsia="楷体_GB2312" w:cs="楷体_GB2312"/>
          <w:b/>
          <w:bCs/>
          <w:color w:val="auto"/>
          <w:sz w:val="32"/>
          <w:szCs w:val="32"/>
        </w:rPr>
        <w:t>（七）建筑施工领域</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kern w:val="2"/>
          <w:sz w:val="32"/>
          <w:szCs w:val="32"/>
        </w:rPr>
        <w:t>重点</w:t>
      </w:r>
      <w:r>
        <w:rPr>
          <w:rFonts w:hint="eastAsia" w:ascii="仿宋_GB2312" w:hAnsi="仿宋_GB2312" w:eastAsia="仿宋_GB2312" w:cs="仿宋_GB2312"/>
          <w:color w:val="auto"/>
          <w:sz w:val="32"/>
          <w:szCs w:val="32"/>
          <w:shd w:val="clear"/>
        </w:rPr>
        <w:t>排查</w:t>
      </w:r>
      <w:r>
        <w:rPr>
          <w:rFonts w:hint="eastAsia" w:ascii="仿宋_GB2312" w:hAnsi="仿宋_GB2312" w:eastAsia="仿宋_GB2312" w:cs="仿宋_GB2312"/>
          <w:bCs w:val="0"/>
          <w:color w:val="auto"/>
          <w:kern w:val="2"/>
          <w:sz w:val="32"/>
          <w:szCs w:val="32"/>
          <w:lang w:bidi="ar"/>
        </w:rPr>
        <w:t>加强对起重机械、深基坑、高支模等危险性较大的分部分项工程检查，强化施工现场安全隐患排查治理和高风险点的安全管控，严厉打击各类非法转包分包，坚决杜绝盲目赶工期、抢进度施工行为</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bCs w:val="0"/>
          <w:color w:val="auto"/>
          <w:kern w:val="2"/>
          <w:sz w:val="32"/>
          <w:szCs w:val="32"/>
          <w:lang w:eastAsia="zh-CN" w:bidi="ar"/>
        </w:rPr>
        <w:t>严格落实应对大风、雨雪、冰冻等冬季灾害性气候的防范措施</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b/>
          <w:bCs/>
          <w:color w:val="auto"/>
          <w:sz w:val="32"/>
          <w:szCs w:val="32"/>
        </w:rPr>
        <w:t>由区建设管理委牵头负责，相关乡镇、部门、区直属单位配合。</w:t>
      </w:r>
    </w:p>
    <w:p>
      <w:pPr>
        <w:keepNext w:val="0"/>
        <w:keepLines w:val="0"/>
        <w:pageBreakBefore w:val="0"/>
        <w:widowControl w:val="0"/>
        <w:shd w:val="clear"/>
        <w:kinsoku/>
        <w:wordWrap/>
        <w:overflowPunct/>
        <w:topLinePunct w:val="0"/>
        <w:bidi w:val="0"/>
        <w:snapToGrid/>
        <w:spacing w:line="560" w:lineRule="exact"/>
        <w:ind w:firstLine="627" w:firstLineChars="200"/>
        <w:textAlignment w:val="auto"/>
        <w:outlineLvl w:val="9"/>
        <w:rPr>
          <w:rFonts w:hint="eastAsia" w:ascii="仿宋_GB2312" w:hAnsi="仿宋_GB2312" w:eastAsia="仿宋_GB2312" w:cs="仿宋_GB2312"/>
          <w:color w:val="auto"/>
          <w:kern w:val="2"/>
          <w:sz w:val="32"/>
          <w:szCs w:val="32"/>
        </w:rPr>
      </w:pPr>
      <w:r>
        <w:rPr>
          <w:rFonts w:hint="eastAsia" w:ascii="楷体_GB2312" w:hAnsi="楷体_GB2312" w:eastAsia="楷体_GB2312" w:cs="楷体_GB2312"/>
          <w:b/>
          <w:bCs/>
          <w:color w:val="auto"/>
          <w:sz w:val="32"/>
          <w:szCs w:val="32"/>
        </w:rPr>
        <w:t>（八）特种设备领域</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kern w:val="2"/>
          <w:sz w:val="32"/>
          <w:szCs w:val="32"/>
        </w:rPr>
        <w:t>重点</w:t>
      </w:r>
      <w:r>
        <w:rPr>
          <w:rFonts w:hint="eastAsia" w:ascii="仿宋_GB2312" w:hAnsi="仿宋_GB2312" w:eastAsia="仿宋_GB2312" w:cs="仿宋_GB2312"/>
          <w:color w:val="auto"/>
          <w:sz w:val="32"/>
          <w:szCs w:val="32"/>
          <w:shd w:val="clear"/>
        </w:rPr>
        <w:t>排查</w:t>
      </w:r>
      <w:r>
        <w:rPr>
          <w:rFonts w:hint="eastAsia" w:ascii="仿宋_GB2312" w:hAnsi="仿宋_GB2312" w:eastAsia="仿宋_GB2312" w:cs="仿宋_GB2312"/>
          <w:color w:val="auto"/>
          <w:sz w:val="32"/>
          <w:szCs w:val="32"/>
          <w:shd w:val="clear"/>
          <w:lang w:eastAsia="zh-CN"/>
        </w:rPr>
        <w:t>涉及</w:t>
      </w:r>
      <w:r>
        <w:rPr>
          <w:rFonts w:hint="eastAsia" w:ascii="仿宋_GB2312" w:hAnsi="仿宋_GB2312" w:eastAsia="仿宋_GB2312" w:cs="仿宋_GB2312"/>
          <w:color w:val="auto"/>
          <w:kern w:val="2"/>
          <w:sz w:val="32"/>
          <w:szCs w:val="32"/>
        </w:rPr>
        <w:t>民生、人员密集场所、盛装危险化学品的高风险特种设备，深入开展电梯、大型游乐设施、冬季锅炉以及油气输送管道、液化气体钢瓶等特种设备隐患排查专项整治工作情况等。</w:t>
      </w:r>
      <w:r>
        <w:rPr>
          <w:rFonts w:hint="eastAsia" w:ascii="仿宋_GB2312" w:hAnsi="仿宋_GB2312" w:eastAsia="仿宋_GB2312" w:cs="仿宋_GB2312"/>
          <w:b/>
          <w:bCs/>
          <w:color w:val="auto"/>
          <w:sz w:val="32"/>
          <w:szCs w:val="32"/>
        </w:rPr>
        <w:t>由区市场监管局牵头负责，相关乡镇、部门、区直属单位配合。</w:t>
      </w:r>
    </w:p>
    <w:p>
      <w:pPr>
        <w:keepNext w:val="0"/>
        <w:keepLines w:val="0"/>
        <w:pageBreakBefore w:val="0"/>
        <w:widowControl w:val="0"/>
        <w:kinsoku/>
        <w:wordWrap/>
        <w:overflowPunct/>
        <w:topLinePunct w:val="0"/>
        <w:bidi w:val="0"/>
        <w:snapToGrid/>
        <w:spacing w:line="560" w:lineRule="exact"/>
        <w:ind w:firstLine="627" w:firstLineChars="200"/>
        <w:textAlignment w:val="auto"/>
        <w:outlineLvl w:val="9"/>
        <w:rPr>
          <w:rFonts w:ascii="Times New Roman" w:hAnsi="Times New Roman" w:eastAsia="仿宋_GB2312" w:cs="仿宋_GB2312"/>
          <w:b/>
          <w:color w:val="auto"/>
          <w:sz w:val="32"/>
          <w:szCs w:val="32"/>
          <w:highlight w:val="none"/>
        </w:rPr>
      </w:pPr>
      <w:r>
        <w:rPr>
          <w:rFonts w:hint="eastAsia" w:ascii="楷体_GB2312" w:hAnsi="Times New Roman" w:eastAsia="楷体_GB2312" w:cs="仿宋_GB2312"/>
          <w:b/>
          <w:color w:val="auto"/>
          <w:sz w:val="32"/>
          <w:szCs w:val="32"/>
          <w:highlight w:val="none"/>
        </w:rPr>
        <w:t>（九）民爆物品领域</w:t>
      </w:r>
      <w:r>
        <w:rPr>
          <w:rFonts w:hint="eastAsia" w:ascii="楷体_GB2312" w:hAnsi="Times New Roman" w:eastAsia="楷体_GB2312" w:cs="仿宋_GB2312"/>
          <w:b/>
          <w:color w:val="auto"/>
          <w:sz w:val="32"/>
          <w:szCs w:val="32"/>
          <w:highlight w:val="none"/>
          <w:lang w:eastAsia="zh-CN"/>
        </w:rPr>
        <w:t>。</w:t>
      </w:r>
      <w:r>
        <w:rPr>
          <w:rFonts w:hint="eastAsia" w:ascii="Times New Roman" w:hAnsi="仿宋_GB2312" w:eastAsia="仿宋_GB2312" w:cs="仿宋_GB2312"/>
          <w:color w:val="auto"/>
          <w:kern w:val="0"/>
          <w:sz w:val="32"/>
          <w:szCs w:val="32"/>
          <w:highlight w:val="none"/>
        </w:rPr>
        <w:t>重点</w:t>
      </w:r>
      <w:r>
        <w:rPr>
          <w:rFonts w:hint="eastAsia" w:ascii="Times New Roman" w:hAnsi="仿宋_GB2312" w:eastAsia="仿宋_GB2312" w:cs="仿宋_GB2312"/>
          <w:color w:val="auto"/>
          <w:sz w:val="32"/>
          <w:szCs w:val="32"/>
          <w:highlight w:val="none"/>
          <w:shd w:val="clear" w:color="auto" w:fill="FFFFFF"/>
        </w:rPr>
        <w:t>排查</w:t>
      </w:r>
      <w:r>
        <w:rPr>
          <w:rFonts w:hint="eastAsia" w:ascii="Times New Roman" w:hAnsi="Times New Roman" w:eastAsia="仿宋_GB2312" w:cs="仿宋_GB2312"/>
          <w:color w:val="auto"/>
          <w:sz w:val="32"/>
          <w:szCs w:val="32"/>
          <w:highlight w:val="none"/>
        </w:rPr>
        <w:t>“</w:t>
      </w:r>
      <w:r>
        <w:rPr>
          <w:rFonts w:hint="eastAsia" w:ascii="Times New Roman" w:hAnsi="仿宋_GB2312" w:eastAsia="仿宋_GB2312" w:cs="仿宋_GB2312"/>
          <w:color w:val="auto"/>
          <w:sz w:val="32"/>
          <w:szCs w:val="32"/>
          <w:highlight w:val="none"/>
        </w:rPr>
        <w:t>四超</w:t>
      </w:r>
      <w:r>
        <w:rPr>
          <w:rFonts w:hint="eastAsia" w:ascii="Times New Roman" w:hAnsi="Times New Roman" w:eastAsia="仿宋_GB2312" w:cs="仿宋_GB2312"/>
          <w:color w:val="auto"/>
          <w:sz w:val="32"/>
          <w:szCs w:val="32"/>
          <w:highlight w:val="none"/>
        </w:rPr>
        <w:t>”</w:t>
      </w:r>
      <w:r>
        <w:rPr>
          <w:rFonts w:hint="eastAsia" w:ascii="Times New Roman" w:hAnsi="仿宋_GB2312" w:eastAsia="仿宋_GB2312" w:cs="仿宋_GB2312"/>
          <w:color w:val="auto"/>
          <w:sz w:val="32"/>
          <w:szCs w:val="32"/>
          <w:highlight w:val="none"/>
        </w:rPr>
        <w:t>（超员、超量、超时、超产）、三违（违章操作、违章指挥、违反劳动纪律）情况；打击非法销售、运输、储存、使用炸药、雷管等民爆物品情况等。</w:t>
      </w:r>
      <w:r>
        <w:rPr>
          <w:rFonts w:hint="eastAsia" w:ascii="Times New Roman" w:hAnsi="仿宋_GB2312" w:eastAsia="仿宋_GB2312" w:cs="仿宋_GB2312"/>
          <w:b/>
          <w:color w:val="auto"/>
          <w:sz w:val="32"/>
          <w:szCs w:val="32"/>
          <w:highlight w:val="none"/>
        </w:rPr>
        <w:t>由区公安</w:t>
      </w:r>
      <w:r>
        <w:rPr>
          <w:rFonts w:hint="eastAsia" w:ascii="Times New Roman" w:hAnsi="仿宋_GB2312" w:eastAsia="仿宋_GB2312" w:cs="仿宋_GB2312"/>
          <w:b/>
          <w:color w:val="auto"/>
          <w:sz w:val="32"/>
          <w:szCs w:val="32"/>
          <w:highlight w:val="none"/>
          <w:lang w:eastAsia="zh-CN"/>
        </w:rPr>
        <w:t>分</w:t>
      </w:r>
      <w:r>
        <w:rPr>
          <w:rFonts w:hint="eastAsia" w:ascii="Times New Roman" w:hAnsi="仿宋_GB2312" w:eastAsia="仿宋_GB2312" w:cs="仿宋_GB2312"/>
          <w:b/>
          <w:color w:val="auto"/>
          <w:sz w:val="32"/>
          <w:szCs w:val="32"/>
          <w:highlight w:val="none"/>
        </w:rPr>
        <w:t>局牵头负责，相关乡镇、部门、区直属单位配合。</w:t>
      </w:r>
    </w:p>
    <w:p>
      <w:pPr>
        <w:keepNext w:val="0"/>
        <w:keepLines w:val="0"/>
        <w:pageBreakBefore w:val="0"/>
        <w:widowControl w:val="0"/>
        <w:shd w:val="clear"/>
        <w:kinsoku/>
        <w:wordWrap/>
        <w:overflowPunct/>
        <w:topLinePunct w:val="0"/>
        <w:bidi w:val="0"/>
        <w:snapToGrid/>
        <w:spacing w:line="560" w:lineRule="exact"/>
        <w:ind w:firstLine="627" w:firstLineChars="200"/>
        <w:textAlignment w:val="auto"/>
        <w:outlineLvl w:val="9"/>
        <w:rPr>
          <w:rFonts w:hint="eastAsia" w:ascii="仿宋_GB2312" w:hAnsi="仿宋_GB2312" w:eastAsia="仿宋_GB2312" w:cs="仿宋_GB2312"/>
          <w:b/>
          <w:bCs/>
          <w:color w:val="auto"/>
          <w:sz w:val="32"/>
          <w:szCs w:val="32"/>
        </w:rPr>
      </w:pPr>
      <w:r>
        <w:rPr>
          <w:rFonts w:hint="eastAsia" w:ascii="楷体_GB2312" w:hAnsi="楷体_GB2312" w:eastAsia="楷体_GB2312" w:cs="楷体_GB2312"/>
          <w:b/>
          <w:bCs/>
          <w:color w:val="auto"/>
          <w:sz w:val="32"/>
          <w:szCs w:val="32"/>
        </w:rPr>
        <w:t>（十）城镇燃气领域</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kern w:val="2"/>
          <w:sz w:val="32"/>
          <w:szCs w:val="32"/>
        </w:rPr>
        <w:t>要盯紧燃气经营、输送配送、使用、管线施工、燃气具生产销售这五个关键环节，重点</w:t>
      </w:r>
      <w:r>
        <w:rPr>
          <w:rFonts w:hint="eastAsia" w:ascii="仿宋_GB2312" w:hAnsi="仿宋_GB2312" w:eastAsia="仿宋_GB2312" w:cs="仿宋_GB2312"/>
          <w:color w:val="auto"/>
          <w:sz w:val="32"/>
          <w:szCs w:val="32"/>
          <w:shd w:val="clear"/>
        </w:rPr>
        <w:t>排查整治涉及公共安全的餐饮场所、商业综合体等公共场所安全隐患；</w:t>
      </w:r>
      <w:r>
        <w:rPr>
          <w:rFonts w:hint="eastAsia" w:ascii="仿宋_GB2312" w:hAnsi="仿宋_GB2312" w:eastAsia="仿宋_GB2312" w:cs="仿宋_GB2312"/>
          <w:color w:val="auto"/>
          <w:sz w:val="32"/>
          <w:szCs w:val="32"/>
        </w:rPr>
        <w:t>执行管道检维修作业许可制度情况；</w:t>
      </w:r>
      <w:r>
        <w:rPr>
          <w:rFonts w:hint="eastAsia" w:ascii="仿宋_GB2312" w:hAnsi="仿宋_GB2312" w:eastAsia="仿宋_GB2312" w:cs="仿宋_GB2312"/>
          <w:color w:val="auto"/>
          <w:kern w:val="2"/>
          <w:sz w:val="32"/>
          <w:szCs w:val="32"/>
        </w:rPr>
        <w:t>建立完善事故应急预案并定期开展演练</w:t>
      </w:r>
      <w:r>
        <w:rPr>
          <w:rFonts w:hint="eastAsia" w:ascii="仿宋_GB2312" w:hAnsi="仿宋_GB2312" w:eastAsia="仿宋_GB2312" w:cs="仿宋_GB2312"/>
          <w:color w:val="auto"/>
          <w:kern w:val="2"/>
          <w:sz w:val="32"/>
          <w:szCs w:val="32"/>
          <w:lang w:eastAsia="zh-CN"/>
        </w:rPr>
        <w:t>的情况；</w:t>
      </w:r>
      <w:r>
        <w:rPr>
          <w:rFonts w:hint="eastAsia" w:ascii="仿宋_GB2312" w:hAnsi="仿宋_GB2312" w:eastAsia="仿宋_GB2312" w:cs="仿宋_GB2312"/>
          <w:color w:val="auto"/>
          <w:kern w:val="2"/>
          <w:sz w:val="32"/>
          <w:szCs w:val="32"/>
        </w:rPr>
        <w:t>建立完善城镇燃气使用环节和重大危险源数据台账，排查整治存在的各类安全隐患；完善辖区住户、燃气用户等基础信息管理，燃气企业建立健全用户信息管理系统以及钢瓶溯源系统，排查及整改燃气用户安全用气隐患。持续加大防范一氧化碳中毒宣传力度，提高重点人群、重点部位的隐患排查针对性，尤其要关注孤寡老人、留守儿童等特殊困难群体，及时做好帮扶工作，切实减少非职业性一氧化碳中毒事件发生情况等</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b/>
          <w:bCs/>
          <w:color w:val="auto"/>
          <w:sz w:val="32"/>
          <w:szCs w:val="32"/>
        </w:rPr>
        <w:t>由区建设管理委牵头负责，相关乡镇、部门、区直属单位配合。</w:t>
      </w:r>
    </w:p>
    <w:p>
      <w:pPr>
        <w:keepNext w:val="0"/>
        <w:keepLines w:val="0"/>
        <w:pageBreakBefore w:val="0"/>
        <w:widowControl w:val="0"/>
        <w:shd w:val="clear"/>
        <w:kinsoku/>
        <w:wordWrap/>
        <w:overflowPunct/>
        <w:topLinePunct w:val="0"/>
        <w:bidi w:val="0"/>
        <w:snapToGrid/>
        <w:spacing w:line="560" w:lineRule="exact"/>
        <w:ind w:firstLine="627" w:firstLineChars="200"/>
        <w:textAlignment w:val="auto"/>
        <w:outlineLvl w:val="9"/>
        <w:rPr>
          <w:rFonts w:hint="eastAsia" w:ascii="仿宋_GB2312" w:hAnsi="仿宋_GB2312" w:eastAsia="仿宋_GB2312" w:cs="仿宋_GB2312"/>
          <w:b/>
          <w:bCs/>
          <w:color w:val="auto"/>
          <w:sz w:val="32"/>
          <w:szCs w:val="32"/>
        </w:rPr>
      </w:pPr>
      <w:r>
        <w:rPr>
          <w:rFonts w:hint="eastAsia" w:ascii="楷体_GB2312" w:hAnsi="楷体_GB2312" w:eastAsia="楷体_GB2312" w:cs="楷体_GB2312"/>
          <w:b/>
          <w:bCs/>
          <w:color w:val="auto"/>
          <w:sz w:val="32"/>
          <w:szCs w:val="32"/>
        </w:rPr>
        <w:t>（十一）油气输送管道领域</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bCs w:val="0"/>
          <w:color w:val="auto"/>
          <w:sz w:val="32"/>
          <w:szCs w:val="32"/>
        </w:rPr>
        <w:t>重点排查依法严厉打击破坏损害油气输送管道及其附属设施的各类违法行为情况。推动管道企业落实主体责任，督促其建立健全隐患排查治理制度</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Cs w:val="0"/>
          <w:color w:val="auto"/>
          <w:sz w:val="32"/>
          <w:szCs w:val="32"/>
        </w:rPr>
        <w:t>油气管道巡护值守制度、定期检维修制度和各项操作规程并严格执行情况等。</w:t>
      </w:r>
      <w:r>
        <w:rPr>
          <w:rFonts w:hint="eastAsia" w:ascii="仿宋_GB2312" w:hAnsi="仿宋_GB2312" w:eastAsia="仿宋_GB2312" w:cs="仿宋_GB2312"/>
          <w:b/>
          <w:bCs/>
          <w:color w:val="auto"/>
          <w:sz w:val="32"/>
          <w:szCs w:val="32"/>
        </w:rPr>
        <w:t>由区建设管理委牵头负责，相关乡镇、部门、区直属单位配合。</w:t>
      </w:r>
    </w:p>
    <w:p>
      <w:pPr>
        <w:keepNext w:val="0"/>
        <w:keepLines w:val="0"/>
        <w:pageBreakBefore w:val="0"/>
        <w:widowControl w:val="0"/>
        <w:shd w:val="clear"/>
        <w:kinsoku/>
        <w:wordWrap/>
        <w:overflowPunct/>
        <w:topLinePunct w:val="0"/>
        <w:bidi w:val="0"/>
        <w:snapToGrid/>
        <w:spacing w:line="560" w:lineRule="exact"/>
        <w:ind w:firstLine="627" w:firstLineChars="200"/>
        <w:textAlignment w:val="auto"/>
        <w:outlineLvl w:val="9"/>
        <w:rPr>
          <w:rFonts w:hint="eastAsia" w:ascii="仿宋_GB2312" w:hAnsi="仿宋_GB2312" w:eastAsia="仿宋_GB2312" w:cs="仿宋_GB2312"/>
          <w:b/>
          <w:bCs/>
          <w:color w:val="auto"/>
          <w:sz w:val="32"/>
          <w:szCs w:val="32"/>
        </w:rPr>
      </w:pPr>
      <w:r>
        <w:rPr>
          <w:rFonts w:hint="eastAsia" w:ascii="楷体_GB2312" w:hAnsi="楷体_GB2312" w:eastAsia="楷体_GB2312" w:cs="楷体_GB2312"/>
          <w:b/>
          <w:bCs/>
          <w:color w:val="auto"/>
          <w:sz w:val="32"/>
          <w:szCs w:val="32"/>
        </w:rPr>
        <w:t>（十二）文化旅游领域</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bCs w:val="0"/>
          <w:color w:val="auto"/>
          <w:sz w:val="32"/>
          <w:szCs w:val="32"/>
        </w:rPr>
        <w:t>通过“1（专项督导）+1（工作通知）+1（安全出游提示）”的节假日安全管理工作模式，开展一次文化旅游行业安全生产专项督导，重点排查相关部门督查景区内特种设备、游乐设施、基础服务设施和游览车船等设备的隐患治理情况；督促各类旅游景区提前做好应急预案</w:t>
      </w:r>
      <w:r>
        <w:rPr>
          <w:rFonts w:hint="eastAsia" w:ascii="仿宋_GB2312" w:hAnsi="仿宋_GB2312" w:eastAsia="仿宋_GB2312" w:cs="仿宋_GB2312"/>
          <w:bCs w:val="0"/>
          <w:color w:val="auto"/>
          <w:sz w:val="32"/>
          <w:szCs w:val="32"/>
          <w:lang w:eastAsia="zh-CN"/>
        </w:rPr>
        <w:t>，</w:t>
      </w:r>
      <w:r>
        <w:rPr>
          <w:rFonts w:hint="eastAsia" w:ascii="仿宋_GB2312" w:hAnsi="仿宋_GB2312" w:eastAsia="仿宋_GB2312" w:cs="仿宋_GB2312"/>
          <w:bCs w:val="0"/>
          <w:color w:val="auto"/>
          <w:sz w:val="32"/>
          <w:szCs w:val="32"/>
        </w:rPr>
        <w:t>开展应急演练。严格控制景区内营业性演出活动审批，周密制定并严格落实安全防范措施，严防火灾、踩踏等易造成重大人员伤亡事故</w:t>
      </w:r>
      <w:r>
        <w:rPr>
          <w:rFonts w:hint="eastAsia" w:ascii="仿宋_GB2312" w:hAnsi="仿宋_GB2312" w:eastAsia="仿宋_GB2312" w:cs="仿宋_GB2312"/>
          <w:bCs w:val="0"/>
          <w:color w:val="auto"/>
          <w:sz w:val="32"/>
          <w:szCs w:val="32"/>
          <w:lang w:val="en-US" w:eastAsia="zh-CN"/>
        </w:rPr>
        <w:t>情况</w:t>
      </w:r>
      <w:r>
        <w:rPr>
          <w:rFonts w:hint="eastAsia" w:ascii="仿宋_GB2312" w:hAnsi="仿宋_GB2312" w:eastAsia="仿宋_GB2312" w:cs="仿宋_GB2312"/>
          <w:bCs w:val="0"/>
          <w:color w:val="auto"/>
          <w:sz w:val="32"/>
          <w:szCs w:val="32"/>
        </w:rPr>
        <w:t>等。加强民宿、农家乐疫情防控、食品安全、消防安全、设施安全等方面的监管工作。</w:t>
      </w:r>
      <w:r>
        <w:rPr>
          <w:rFonts w:hint="eastAsia" w:ascii="仿宋_GB2312" w:hAnsi="仿宋_GB2312" w:eastAsia="仿宋_GB2312" w:cs="仿宋_GB2312"/>
          <w:b/>
          <w:bCs/>
          <w:color w:val="auto"/>
          <w:sz w:val="32"/>
          <w:szCs w:val="32"/>
        </w:rPr>
        <w:t>由区文化旅游局牵头负责，相关乡镇、部门、区直属单位配合。</w:t>
      </w:r>
    </w:p>
    <w:p>
      <w:pPr>
        <w:keepNext w:val="0"/>
        <w:keepLines w:val="0"/>
        <w:pageBreakBefore w:val="0"/>
        <w:widowControl w:val="0"/>
        <w:shd w:val="clear"/>
        <w:kinsoku/>
        <w:wordWrap/>
        <w:overflowPunct/>
        <w:topLinePunct w:val="0"/>
        <w:bidi w:val="0"/>
        <w:snapToGrid/>
        <w:spacing w:line="560" w:lineRule="exact"/>
        <w:ind w:firstLine="627" w:firstLineChars="200"/>
        <w:textAlignment w:val="auto"/>
        <w:outlineLvl w:val="9"/>
        <w:rPr>
          <w:rFonts w:hint="eastAsia" w:ascii="仿宋_GB2312" w:hAnsi="仿宋_GB2312" w:eastAsia="仿宋_GB2312" w:cs="仿宋_GB2312"/>
          <w:b w:val="0"/>
          <w:color w:val="auto"/>
          <w:sz w:val="32"/>
          <w:szCs w:val="32"/>
        </w:rPr>
      </w:pPr>
      <w:r>
        <w:rPr>
          <w:rFonts w:hint="eastAsia" w:ascii="楷体_GB2312" w:hAnsi="楷体_GB2312" w:eastAsia="楷体_GB2312" w:cs="楷体_GB2312"/>
          <w:b/>
          <w:bCs/>
          <w:color w:val="auto"/>
          <w:sz w:val="32"/>
          <w:szCs w:val="32"/>
        </w:rPr>
        <w:t>（十三）渔业船舶领域</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bCs w:val="0"/>
          <w:color w:val="auto"/>
          <w:sz w:val="32"/>
          <w:szCs w:val="32"/>
        </w:rPr>
        <w:t>重点排查加强“四类重点船舶”和重点航线、重点水域安全监管，开展船舶港口的隐患排查治理和风险防控，加强商渔船碰撞事故防范</w:t>
      </w:r>
      <w:r>
        <w:rPr>
          <w:rFonts w:hint="eastAsia" w:ascii="仿宋_GB2312" w:hAnsi="仿宋_GB2312" w:eastAsia="仿宋_GB2312" w:cs="仿宋_GB2312"/>
          <w:bCs w:val="0"/>
          <w:color w:val="auto"/>
          <w:sz w:val="32"/>
          <w:szCs w:val="32"/>
          <w:lang w:eastAsia="zh-CN"/>
        </w:rPr>
        <w:t>，</w:t>
      </w:r>
      <w:r>
        <w:rPr>
          <w:rFonts w:hint="eastAsia" w:ascii="仿宋_GB2312" w:hAnsi="仿宋_GB2312" w:eastAsia="仿宋_GB2312" w:cs="仿宋_GB2312"/>
          <w:bCs w:val="0"/>
          <w:color w:val="auto"/>
          <w:sz w:val="32"/>
          <w:szCs w:val="32"/>
        </w:rPr>
        <w:t>以渔船脱检脱管、渔船不适航、船员不适任和冒险作业等为重点开展专项整治，严厉打击渔船超员超载超风级冒险作业行为，全面提升管船管人管安全的能力和水平等。</w:t>
      </w:r>
      <w:r>
        <w:rPr>
          <w:rFonts w:hint="eastAsia" w:ascii="仿宋_GB2312" w:hAnsi="仿宋_GB2312" w:eastAsia="仿宋_GB2312" w:cs="仿宋_GB2312"/>
          <w:b/>
          <w:bCs/>
          <w:color w:val="auto"/>
          <w:sz w:val="32"/>
          <w:szCs w:val="32"/>
        </w:rPr>
        <w:t>由区农业农村委牵头负责，相关乡镇、部门、区直属单位配合。</w:t>
      </w:r>
    </w:p>
    <w:p>
      <w:pPr>
        <w:keepNext w:val="0"/>
        <w:keepLines w:val="0"/>
        <w:pageBreakBefore w:val="0"/>
        <w:widowControl w:val="0"/>
        <w:kinsoku/>
        <w:wordWrap/>
        <w:overflowPunct/>
        <w:topLinePunct w:val="0"/>
        <w:bidi w:val="0"/>
        <w:snapToGrid/>
        <w:spacing w:line="560" w:lineRule="exact"/>
        <w:ind w:firstLine="627" w:firstLineChars="200"/>
        <w:textAlignment w:val="auto"/>
        <w:outlineLvl w:val="9"/>
        <w:rPr>
          <w:rFonts w:ascii="Times New Roman" w:hAnsi="仿宋_GB2312" w:eastAsia="仿宋_GB2312" w:cs="仿宋_GB2312"/>
          <w:b/>
          <w:color w:val="auto"/>
          <w:sz w:val="32"/>
          <w:szCs w:val="32"/>
          <w:highlight w:val="none"/>
        </w:rPr>
      </w:pPr>
      <w:r>
        <w:rPr>
          <w:rFonts w:hint="eastAsia" w:ascii="楷体_GB2312" w:hAnsi="Times New Roman" w:eastAsia="楷体_GB2312" w:cs="仿宋_GB2312"/>
          <w:b/>
          <w:color w:val="auto"/>
          <w:sz w:val="32"/>
          <w:szCs w:val="32"/>
          <w:highlight w:val="none"/>
        </w:rPr>
        <w:t>（十四）危险废物领域</w:t>
      </w:r>
      <w:r>
        <w:rPr>
          <w:rFonts w:hint="eastAsia" w:ascii="楷体_GB2312" w:hAnsi="Times New Roman" w:eastAsia="楷体_GB2312" w:cs="仿宋_GB2312"/>
          <w:b/>
          <w:color w:val="auto"/>
          <w:sz w:val="32"/>
          <w:szCs w:val="32"/>
          <w:highlight w:val="none"/>
          <w:lang w:eastAsia="zh-CN"/>
        </w:rPr>
        <w:t>。</w:t>
      </w:r>
      <w:r>
        <w:rPr>
          <w:rFonts w:hint="eastAsia" w:ascii="Times New Roman" w:hAnsi="仿宋_GB2312" w:eastAsia="仿宋_GB2312" w:cs="仿宋_GB2312"/>
          <w:bCs/>
          <w:color w:val="auto"/>
          <w:sz w:val="32"/>
          <w:szCs w:val="32"/>
          <w:highlight w:val="none"/>
        </w:rPr>
        <w:t>重点排查园区、医院、学校等危险化学品单位存在的违规堆存、随意倾倒、私自填埋危险废物等问题情况。严厉打击非法转移、倾倒、处置危险废物违法犯罪行为。加强重点环保设施项目的安全风险评估管控和隐患排查治理，强化相应的安全责任措施落实，确保人身安全情况。</w:t>
      </w:r>
      <w:r>
        <w:rPr>
          <w:rFonts w:hint="eastAsia" w:ascii="Times New Roman" w:hAnsi="仿宋_GB2312" w:eastAsia="仿宋_GB2312" w:cs="仿宋_GB2312"/>
          <w:b/>
          <w:color w:val="auto"/>
          <w:sz w:val="32"/>
          <w:szCs w:val="32"/>
          <w:highlight w:val="none"/>
        </w:rPr>
        <w:t>由区生态环境局牵头负责，相关部门配合。</w:t>
      </w:r>
    </w:p>
    <w:p>
      <w:pPr>
        <w:keepNext w:val="0"/>
        <w:keepLines w:val="0"/>
        <w:pageBreakBefore w:val="0"/>
        <w:widowControl w:val="0"/>
        <w:kinsoku/>
        <w:wordWrap/>
        <w:overflowPunct/>
        <w:topLinePunct w:val="0"/>
        <w:bidi w:val="0"/>
        <w:snapToGrid/>
        <w:spacing w:line="560" w:lineRule="exact"/>
        <w:ind w:firstLine="627" w:firstLineChars="200"/>
        <w:textAlignment w:val="auto"/>
        <w:outlineLvl w:val="9"/>
        <w:rPr>
          <w:color w:val="auto"/>
          <w:highlight w:val="none"/>
        </w:rPr>
      </w:pPr>
      <w:r>
        <w:rPr>
          <w:rFonts w:hint="eastAsia" w:ascii="楷体_GB2312" w:hAnsi="Times New Roman" w:eastAsia="楷体_GB2312" w:cs="仿宋_GB2312"/>
          <w:b/>
          <w:color w:val="auto"/>
          <w:sz w:val="32"/>
          <w:szCs w:val="32"/>
          <w:highlight w:val="none"/>
        </w:rPr>
        <w:t>（十五）其他领域</w:t>
      </w:r>
      <w:r>
        <w:rPr>
          <w:rFonts w:hint="eastAsia" w:ascii="楷体_GB2312" w:hAnsi="Times New Roman" w:eastAsia="楷体_GB2312" w:cs="仿宋_GB2312"/>
          <w:b/>
          <w:color w:val="auto"/>
          <w:sz w:val="32"/>
          <w:szCs w:val="32"/>
          <w:highlight w:val="none"/>
          <w:lang w:eastAsia="zh-CN"/>
        </w:rPr>
        <w:t>。</w:t>
      </w:r>
      <w:r>
        <w:rPr>
          <w:rFonts w:hint="eastAsia" w:ascii="仿宋_GB2312" w:hAnsi="仿宋_GB2312" w:eastAsia="仿宋_GB2312" w:cs="仿宋_GB2312"/>
          <w:b w:val="0"/>
          <w:bCs/>
          <w:color w:val="auto"/>
          <w:sz w:val="32"/>
          <w:szCs w:val="32"/>
          <w:highlight w:val="none"/>
          <w:lang w:eastAsia="zh-CN"/>
        </w:rPr>
        <w:t>能源、</w:t>
      </w:r>
      <w:r>
        <w:rPr>
          <w:rFonts w:hint="eastAsia" w:ascii="仿宋_GB2312" w:hAnsi="仿宋_GB2312" w:eastAsia="仿宋_GB2312" w:cs="仿宋_GB2312"/>
          <w:b w:val="0"/>
          <w:bCs/>
          <w:color w:val="auto"/>
          <w:sz w:val="32"/>
          <w:szCs w:val="32"/>
          <w:highlight w:val="none"/>
        </w:rPr>
        <w:t>商务、</w:t>
      </w:r>
      <w:r>
        <w:rPr>
          <w:rFonts w:hint="eastAsia" w:ascii="仿宋_GB2312" w:hAnsi="仿宋_GB2312" w:eastAsia="仿宋_GB2312" w:cs="仿宋_GB2312"/>
          <w:b w:val="0"/>
          <w:bCs/>
          <w:color w:val="auto"/>
          <w:sz w:val="32"/>
          <w:szCs w:val="32"/>
          <w:highlight w:val="none"/>
          <w:lang w:eastAsia="zh-CN"/>
        </w:rPr>
        <w:t>卫生健康</w:t>
      </w:r>
      <w:r>
        <w:rPr>
          <w:rFonts w:hint="eastAsia" w:ascii="仿宋_GB2312" w:hAnsi="仿宋_GB2312" w:eastAsia="仿宋_GB2312" w:cs="仿宋_GB2312"/>
          <w:b w:val="0"/>
          <w:bCs/>
          <w:color w:val="auto"/>
          <w:sz w:val="32"/>
          <w:szCs w:val="32"/>
          <w:highlight w:val="none"/>
        </w:rPr>
        <w:t>、教育、水务、</w:t>
      </w:r>
      <w:r>
        <w:rPr>
          <w:rFonts w:hint="eastAsia" w:ascii="仿宋_GB2312" w:hAnsi="仿宋_GB2312" w:eastAsia="仿宋_GB2312" w:cs="仿宋_GB2312"/>
          <w:b w:val="0"/>
          <w:bCs/>
          <w:color w:val="auto"/>
          <w:sz w:val="32"/>
          <w:szCs w:val="32"/>
          <w:highlight w:val="none"/>
          <w:lang w:eastAsia="zh-CN"/>
        </w:rPr>
        <w:t>房屋管理</w:t>
      </w:r>
      <w:r>
        <w:rPr>
          <w:rFonts w:hint="eastAsia" w:ascii="仿宋_GB2312" w:hAnsi="仿宋_GB2312" w:eastAsia="仿宋_GB2312" w:cs="仿宋_GB2312"/>
          <w:b w:val="0"/>
          <w:bCs/>
          <w:color w:val="auto"/>
          <w:sz w:val="32"/>
          <w:szCs w:val="32"/>
          <w:highlight w:val="none"/>
        </w:rPr>
        <w:t>、绿化市容等</w:t>
      </w:r>
      <w:r>
        <w:rPr>
          <w:rFonts w:hint="eastAsia" w:ascii="仿宋_GB2312" w:hAnsi="仿宋_GB2312" w:eastAsia="仿宋_GB2312" w:cs="仿宋_GB2312"/>
          <w:b w:val="0"/>
          <w:bCs/>
          <w:color w:val="auto"/>
          <w:sz w:val="32"/>
          <w:szCs w:val="32"/>
          <w:highlight w:val="none"/>
          <w:lang w:eastAsia="zh-CN"/>
        </w:rPr>
        <w:t>行业领域相关部门，</w:t>
      </w:r>
      <w:r>
        <w:rPr>
          <w:rFonts w:hint="eastAsia" w:ascii="Times New Roman" w:hAnsi="仿宋_GB2312" w:eastAsia="仿宋_GB2312" w:cs="仿宋_GB2312"/>
          <w:bCs/>
          <w:color w:val="auto"/>
          <w:sz w:val="32"/>
          <w:szCs w:val="32"/>
          <w:highlight w:val="none"/>
        </w:rPr>
        <w:t>也要结合实际，明确各自排查整治重点，加强安全管理，落实风险管控措施，坚决遏制重特大事故发生。</w:t>
      </w:r>
    </w:p>
    <w:p>
      <w:pPr>
        <w:keepNext w:val="0"/>
        <w:keepLines w:val="0"/>
        <w:pageBreakBefore w:val="0"/>
        <w:widowControl w:val="0"/>
        <w:kinsoku/>
        <w:wordWrap/>
        <w:overflowPunct/>
        <w:topLinePunct w:val="0"/>
        <w:bidi w:val="0"/>
        <w:snapToGrid/>
        <w:spacing w:line="560" w:lineRule="exact"/>
        <w:ind w:firstLine="624" w:firstLineChars="200"/>
        <w:textAlignment w:val="auto"/>
        <w:outlineLvl w:val="9"/>
        <w:rPr>
          <w:rFonts w:ascii="Times New Roman" w:hAnsi="黑体" w:eastAsia="黑体" w:cs="????_GB18030"/>
          <w:color w:val="auto"/>
          <w:sz w:val="32"/>
          <w:szCs w:val="32"/>
          <w:highlight w:val="none"/>
        </w:rPr>
      </w:pPr>
      <w:r>
        <w:rPr>
          <w:rFonts w:hint="eastAsia" w:ascii="Times New Roman" w:hAnsi="黑体" w:eastAsia="黑体" w:cs="????_GB18030"/>
          <w:color w:val="auto"/>
          <w:sz w:val="32"/>
          <w:szCs w:val="32"/>
          <w:highlight w:val="none"/>
        </w:rPr>
        <w:t>三、排查整治安排</w:t>
      </w:r>
    </w:p>
    <w:p>
      <w:pPr>
        <w:keepNext w:val="0"/>
        <w:keepLines w:val="0"/>
        <w:pageBreakBefore w:val="0"/>
        <w:widowControl w:val="0"/>
        <w:kinsoku/>
        <w:wordWrap/>
        <w:overflowPunct/>
        <w:topLinePunct w:val="0"/>
        <w:bidi w:val="0"/>
        <w:snapToGrid/>
        <w:spacing w:line="560" w:lineRule="exact"/>
        <w:ind w:firstLine="624" w:firstLineChars="200"/>
        <w:textAlignment w:val="auto"/>
        <w:outlineLvl w:val="9"/>
        <w:rPr>
          <w:rFonts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本次专项排查整治坚持</w:t>
      </w:r>
      <w:r>
        <w:rPr>
          <w:rFonts w:ascii="仿宋_GB2312" w:hAnsi="仿宋_GB2312" w:eastAsia="仿宋_GB2312" w:cs="仿宋_GB2312"/>
          <w:bCs/>
          <w:color w:val="auto"/>
          <w:sz w:val="32"/>
          <w:szCs w:val="32"/>
          <w:highlight w:val="none"/>
        </w:rPr>
        <w:t>标本兼治、重在治本，条块结合、属地为主，把排查整治与建章立制</w:t>
      </w:r>
      <w:r>
        <w:rPr>
          <w:rFonts w:hint="eastAsia" w:ascii="仿宋_GB2312" w:hAnsi="仿宋_GB2312" w:eastAsia="仿宋_GB2312" w:cs="仿宋_GB2312"/>
          <w:bCs/>
          <w:color w:val="auto"/>
          <w:sz w:val="32"/>
          <w:szCs w:val="32"/>
          <w:highlight w:val="none"/>
        </w:rPr>
        <w:t>贯穿</w:t>
      </w:r>
      <w:r>
        <w:rPr>
          <w:rFonts w:ascii="仿宋_GB2312" w:hAnsi="仿宋_GB2312" w:eastAsia="仿宋_GB2312" w:cs="仿宋_GB2312"/>
          <w:bCs/>
          <w:color w:val="auto"/>
          <w:sz w:val="32"/>
          <w:szCs w:val="32"/>
          <w:highlight w:val="none"/>
        </w:rPr>
        <w:t>全过程</w:t>
      </w:r>
      <w:r>
        <w:rPr>
          <w:rFonts w:hint="eastAsia" w:ascii="仿宋_GB2312" w:hAnsi="仿宋_GB2312" w:eastAsia="仿宋_GB2312" w:cs="仿宋_GB2312"/>
          <w:bCs/>
          <w:color w:val="auto"/>
          <w:sz w:val="32"/>
          <w:szCs w:val="32"/>
          <w:highlight w:val="none"/>
        </w:rPr>
        <w:t>，</w:t>
      </w:r>
      <w:r>
        <w:rPr>
          <w:rFonts w:ascii="仿宋_GB2312" w:hAnsi="仿宋_GB2312" w:eastAsia="仿宋_GB2312" w:cs="仿宋_GB2312"/>
          <w:bCs/>
          <w:color w:val="auto"/>
          <w:sz w:val="32"/>
          <w:szCs w:val="32"/>
          <w:highlight w:val="none"/>
        </w:rPr>
        <w:t>把学习提</w:t>
      </w:r>
      <w:r>
        <w:rPr>
          <w:rFonts w:hint="eastAsia" w:ascii="仿宋_GB2312" w:hAnsi="仿宋_GB2312" w:eastAsia="仿宋_GB2312" w:cs="仿宋_GB2312"/>
          <w:bCs/>
          <w:color w:val="auto"/>
          <w:sz w:val="32"/>
          <w:szCs w:val="32"/>
          <w:highlight w:val="none"/>
        </w:rPr>
        <w:t>高</w:t>
      </w:r>
      <w:r>
        <w:rPr>
          <w:rFonts w:ascii="仿宋_GB2312" w:hAnsi="仿宋_GB2312" w:eastAsia="仿宋_GB2312" w:cs="仿宋_GB2312"/>
          <w:bCs/>
          <w:color w:val="auto"/>
          <w:sz w:val="32"/>
          <w:szCs w:val="32"/>
          <w:highlight w:val="none"/>
        </w:rPr>
        <w:t>与狠抓落实贯穿全过程，把</w:t>
      </w:r>
      <w:r>
        <w:rPr>
          <w:rFonts w:hint="eastAsia" w:ascii="仿宋_GB2312" w:hAnsi="仿宋_GB2312" w:eastAsia="仿宋_GB2312" w:cs="仿宋_GB2312"/>
          <w:bCs/>
          <w:color w:val="auto"/>
          <w:sz w:val="32"/>
          <w:szCs w:val="32"/>
          <w:highlight w:val="none"/>
        </w:rPr>
        <w:t>压紧</w:t>
      </w:r>
      <w:r>
        <w:rPr>
          <w:rFonts w:ascii="仿宋_GB2312" w:hAnsi="仿宋_GB2312" w:eastAsia="仿宋_GB2312" w:cs="仿宋_GB2312"/>
          <w:bCs/>
          <w:color w:val="auto"/>
          <w:sz w:val="32"/>
          <w:szCs w:val="32"/>
          <w:highlight w:val="none"/>
        </w:rPr>
        <w:t>压实责任与细化</w:t>
      </w:r>
      <w:r>
        <w:rPr>
          <w:rFonts w:hint="eastAsia" w:ascii="仿宋_GB2312" w:hAnsi="仿宋_GB2312" w:eastAsia="仿宋_GB2312" w:cs="仿宋_GB2312"/>
          <w:bCs/>
          <w:color w:val="auto"/>
          <w:sz w:val="32"/>
          <w:szCs w:val="32"/>
          <w:highlight w:val="none"/>
        </w:rPr>
        <w:t>实化</w:t>
      </w:r>
      <w:r>
        <w:rPr>
          <w:rFonts w:ascii="仿宋_GB2312" w:hAnsi="仿宋_GB2312" w:eastAsia="仿宋_GB2312" w:cs="仿宋_GB2312"/>
          <w:bCs/>
          <w:color w:val="auto"/>
          <w:sz w:val="32"/>
          <w:szCs w:val="32"/>
          <w:highlight w:val="none"/>
        </w:rPr>
        <w:t>措施贯彻全过程，</w:t>
      </w:r>
      <w:r>
        <w:rPr>
          <w:rFonts w:hint="eastAsia" w:ascii="仿宋_GB2312" w:hAnsi="仿宋_GB2312" w:eastAsia="仿宋_GB2312" w:cs="仿宋_GB2312"/>
          <w:bCs/>
          <w:color w:val="auto"/>
          <w:sz w:val="32"/>
          <w:szCs w:val="32"/>
          <w:highlight w:val="none"/>
        </w:rPr>
        <w:t>把</w:t>
      </w:r>
      <w:r>
        <w:rPr>
          <w:rFonts w:ascii="仿宋_GB2312" w:hAnsi="仿宋_GB2312" w:eastAsia="仿宋_GB2312" w:cs="仿宋_GB2312"/>
          <w:bCs/>
          <w:color w:val="auto"/>
          <w:sz w:val="32"/>
          <w:szCs w:val="32"/>
          <w:highlight w:val="none"/>
        </w:rPr>
        <w:t>专项整治</w:t>
      </w:r>
      <w:r>
        <w:rPr>
          <w:rFonts w:hint="eastAsia" w:ascii="仿宋_GB2312" w:hAnsi="仿宋_GB2312" w:eastAsia="仿宋_GB2312" w:cs="仿宋_GB2312"/>
          <w:bCs/>
          <w:color w:val="auto"/>
          <w:sz w:val="32"/>
          <w:szCs w:val="32"/>
          <w:highlight w:val="none"/>
        </w:rPr>
        <w:t>巩固</w:t>
      </w:r>
      <w:r>
        <w:rPr>
          <w:rFonts w:ascii="仿宋_GB2312" w:hAnsi="仿宋_GB2312" w:eastAsia="仿宋_GB2312" w:cs="仿宋_GB2312"/>
          <w:bCs/>
          <w:color w:val="auto"/>
          <w:sz w:val="32"/>
          <w:szCs w:val="32"/>
          <w:highlight w:val="none"/>
        </w:rPr>
        <w:t>提升</w:t>
      </w:r>
      <w:r>
        <w:rPr>
          <w:rFonts w:hint="eastAsia" w:ascii="仿宋_GB2312" w:hAnsi="仿宋_GB2312" w:eastAsia="仿宋_GB2312" w:cs="仿宋_GB2312"/>
          <w:bCs/>
          <w:color w:val="auto"/>
          <w:sz w:val="32"/>
          <w:szCs w:val="32"/>
          <w:highlight w:val="none"/>
        </w:rPr>
        <w:t>与本质</w:t>
      </w:r>
      <w:r>
        <w:rPr>
          <w:rFonts w:ascii="仿宋_GB2312" w:hAnsi="仿宋_GB2312" w:eastAsia="仿宋_GB2312" w:cs="仿宋_GB2312"/>
          <w:bCs/>
          <w:color w:val="auto"/>
          <w:sz w:val="32"/>
          <w:szCs w:val="32"/>
          <w:highlight w:val="none"/>
        </w:rPr>
        <w:t>安全</w:t>
      </w:r>
      <w:r>
        <w:rPr>
          <w:rFonts w:hint="eastAsia" w:ascii="仿宋_GB2312" w:hAnsi="仿宋_GB2312" w:eastAsia="仿宋_GB2312" w:cs="仿宋_GB2312"/>
          <w:bCs/>
          <w:color w:val="auto"/>
          <w:sz w:val="32"/>
          <w:szCs w:val="32"/>
          <w:highlight w:val="none"/>
        </w:rPr>
        <w:t>上</w:t>
      </w:r>
      <w:r>
        <w:rPr>
          <w:rFonts w:ascii="仿宋_GB2312" w:hAnsi="仿宋_GB2312" w:eastAsia="仿宋_GB2312" w:cs="仿宋_GB2312"/>
          <w:bCs/>
          <w:color w:val="auto"/>
          <w:sz w:val="32"/>
          <w:szCs w:val="32"/>
          <w:highlight w:val="none"/>
        </w:rPr>
        <w:t>新水平贯彻全过程。</w:t>
      </w:r>
      <w:r>
        <w:rPr>
          <w:rFonts w:hint="eastAsia" w:ascii="仿宋_GB2312" w:hAnsi="仿宋_GB2312" w:eastAsia="仿宋_GB2312" w:cs="仿宋_GB2312"/>
          <w:bCs/>
          <w:color w:val="auto"/>
          <w:sz w:val="32"/>
          <w:szCs w:val="32"/>
          <w:highlight w:val="none"/>
        </w:rPr>
        <w:t>从2</w:t>
      </w:r>
      <w:r>
        <w:rPr>
          <w:rFonts w:ascii="仿宋_GB2312" w:hAnsi="仿宋_GB2312" w:eastAsia="仿宋_GB2312" w:cs="仿宋_GB2312"/>
          <w:bCs/>
          <w:color w:val="auto"/>
          <w:sz w:val="32"/>
          <w:szCs w:val="32"/>
          <w:highlight w:val="none"/>
        </w:rPr>
        <w:t>022</w:t>
      </w:r>
      <w:r>
        <w:rPr>
          <w:rFonts w:hint="eastAsia" w:ascii="仿宋_GB2312" w:hAnsi="仿宋_GB2312" w:eastAsia="仿宋_GB2312" w:cs="仿宋_GB2312"/>
          <w:bCs/>
          <w:color w:val="auto"/>
          <w:sz w:val="32"/>
          <w:szCs w:val="32"/>
          <w:highlight w:val="none"/>
        </w:rPr>
        <w:t>年12月</w:t>
      </w:r>
      <w:r>
        <w:rPr>
          <w:rFonts w:ascii="仿宋_GB2312" w:hAnsi="仿宋_GB2312" w:eastAsia="仿宋_GB2312" w:cs="仿宋_GB2312"/>
          <w:bCs/>
          <w:color w:val="auto"/>
          <w:sz w:val="32"/>
          <w:szCs w:val="32"/>
          <w:highlight w:val="none"/>
        </w:rPr>
        <w:t>开始</w:t>
      </w:r>
      <w:r>
        <w:rPr>
          <w:rFonts w:hint="eastAsia" w:ascii="仿宋_GB2312" w:hAnsi="仿宋_GB2312" w:eastAsia="仿宋_GB2312" w:cs="仿宋_GB2312"/>
          <w:bCs/>
          <w:color w:val="auto"/>
          <w:sz w:val="32"/>
          <w:szCs w:val="32"/>
          <w:highlight w:val="none"/>
        </w:rPr>
        <w:t>至2023年3月底结束，集中利用</w:t>
      </w:r>
      <w:r>
        <w:rPr>
          <w:rFonts w:ascii="仿宋_GB2312" w:hAnsi="仿宋_GB2312" w:eastAsia="仿宋_GB2312" w:cs="仿宋_GB2312"/>
          <w:bCs/>
          <w:color w:val="auto"/>
          <w:sz w:val="32"/>
          <w:szCs w:val="32"/>
          <w:highlight w:val="none"/>
        </w:rPr>
        <w:t>4</w:t>
      </w:r>
      <w:r>
        <w:rPr>
          <w:rFonts w:hint="eastAsia" w:ascii="仿宋_GB2312" w:hAnsi="仿宋_GB2312" w:eastAsia="仿宋_GB2312" w:cs="仿宋_GB2312"/>
          <w:bCs/>
          <w:color w:val="auto"/>
          <w:sz w:val="32"/>
          <w:szCs w:val="32"/>
          <w:highlight w:val="none"/>
        </w:rPr>
        <w:t>个月时间，不划阶段、不分环节，</w:t>
      </w:r>
      <w:r>
        <w:rPr>
          <w:rFonts w:hint="eastAsia" w:ascii="仿宋_GB2312" w:hAnsi="仿宋_GB2312" w:eastAsia="仿宋_GB2312" w:cs="仿宋_GB2312"/>
          <w:bCs/>
          <w:color w:val="auto"/>
          <w:sz w:val="32"/>
          <w:szCs w:val="32"/>
          <w:highlight w:val="none"/>
          <w:lang w:eastAsia="zh-CN"/>
        </w:rPr>
        <w:t>坚持重点攻坚和巩固提升相结合，</w:t>
      </w:r>
      <w:r>
        <w:rPr>
          <w:rFonts w:hint="eastAsia" w:ascii="仿宋_GB2312" w:hAnsi="仿宋_GB2312" w:eastAsia="仿宋_GB2312" w:cs="仿宋_GB2312"/>
          <w:bCs/>
          <w:color w:val="auto"/>
          <w:sz w:val="32"/>
          <w:szCs w:val="32"/>
          <w:highlight w:val="none"/>
        </w:rPr>
        <w:t>把</w:t>
      </w:r>
      <w:r>
        <w:rPr>
          <w:rFonts w:hint="eastAsia" w:ascii="仿宋_GB2312" w:hAnsi="仿宋_GB2312" w:eastAsia="仿宋_GB2312" w:cs="仿宋_GB2312"/>
          <w:bCs/>
          <w:color w:val="auto"/>
          <w:sz w:val="32"/>
          <w:szCs w:val="32"/>
          <w:highlight w:val="none"/>
          <w:lang w:eastAsia="zh-CN"/>
        </w:rPr>
        <w:t>企事业</w:t>
      </w:r>
      <w:r>
        <w:rPr>
          <w:rFonts w:hint="eastAsia" w:ascii="仿宋_GB2312" w:hAnsi="仿宋_GB2312" w:eastAsia="仿宋_GB2312" w:cs="仿宋_GB2312"/>
          <w:bCs/>
          <w:color w:val="auto"/>
          <w:sz w:val="32"/>
          <w:szCs w:val="32"/>
          <w:highlight w:val="none"/>
        </w:rPr>
        <w:t>全面自查、部门专项执法检查、属地乡镇全面负责</w:t>
      </w:r>
      <w:r>
        <w:rPr>
          <w:rFonts w:hint="eastAsia" w:ascii="仿宋_GB2312" w:hAnsi="仿宋_GB2312" w:eastAsia="仿宋_GB2312" w:cs="仿宋_GB2312"/>
          <w:bCs/>
          <w:color w:val="auto"/>
          <w:sz w:val="32"/>
          <w:szCs w:val="32"/>
          <w:highlight w:val="none"/>
          <w:lang w:eastAsia="zh-CN"/>
        </w:rPr>
        <w:t>、</w:t>
      </w:r>
      <w:r>
        <w:rPr>
          <w:rFonts w:hint="eastAsia" w:ascii="仿宋_GB2312" w:hAnsi="仿宋_GB2312" w:eastAsia="仿宋_GB2312" w:cs="仿宋_GB2312"/>
          <w:bCs/>
          <w:color w:val="auto"/>
          <w:sz w:val="32"/>
          <w:szCs w:val="32"/>
          <w:highlight w:val="none"/>
        </w:rPr>
        <w:t>政府综合督查贯穿专项排查整治全过程，</w:t>
      </w:r>
      <w:r>
        <w:rPr>
          <w:rFonts w:hint="eastAsia" w:ascii="Times New Roman" w:hAnsi="仿宋_GB2312" w:eastAsia="仿宋_GB2312" w:cs="仿宋_GB2312"/>
          <w:bCs/>
          <w:color w:val="auto"/>
          <w:sz w:val="32"/>
          <w:szCs w:val="32"/>
          <w:highlight w:val="none"/>
        </w:rPr>
        <w:t>排查出问题，要逐个上账，清单拉出来、任务派下去、责任落下去，</w:t>
      </w:r>
      <w:r>
        <w:rPr>
          <w:rFonts w:hint="eastAsia" w:ascii="仿宋_GB2312" w:hAnsi="仿宋_GB2312" w:eastAsia="仿宋_GB2312" w:cs="仿宋_GB2312"/>
          <w:bCs/>
          <w:color w:val="auto"/>
          <w:sz w:val="32"/>
          <w:szCs w:val="32"/>
          <w:highlight w:val="none"/>
        </w:rPr>
        <w:t>全面摸清了解各类城乡</w:t>
      </w:r>
      <w:r>
        <w:rPr>
          <w:rFonts w:ascii="仿宋_GB2312" w:hAnsi="仿宋_GB2312" w:eastAsia="仿宋_GB2312" w:cs="仿宋_GB2312"/>
          <w:bCs/>
          <w:color w:val="auto"/>
          <w:sz w:val="32"/>
          <w:szCs w:val="32"/>
          <w:highlight w:val="none"/>
        </w:rPr>
        <w:t>风险</w:t>
      </w:r>
      <w:r>
        <w:rPr>
          <w:rFonts w:hint="eastAsia" w:ascii="仿宋_GB2312" w:hAnsi="仿宋_GB2312" w:eastAsia="仿宋_GB2312" w:cs="仿宋_GB2312"/>
          <w:bCs/>
          <w:color w:val="auto"/>
          <w:sz w:val="32"/>
          <w:szCs w:val="32"/>
          <w:highlight w:val="none"/>
        </w:rPr>
        <w:t>隐患整改销号完成情况，坚持重点攻坚和巩固提升相结合。</w:t>
      </w:r>
    </w:p>
    <w:p>
      <w:pPr>
        <w:keepNext w:val="0"/>
        <w:keepLines w:val="0"/>
        <w:pageBreakBefore w:val="0"/>
        <w:widowControl w:val="0"/>
        <w:kinsoku/>
        <w:wordWrap/>
        <w:overflowPunct/>
        <w:topLinePunct w:val="0"/>
        <w:bidi w:val="0"/>
        <w:snapToGrid/>
        <w:spacing w:line="560" w:lineRule="exact"/>
        <w:ind w:firstLine="627" w:firstLineChars="200"/>
        <w:textAlignment w:val="auto"/>
        <w:outlineLvl w:val="9"/>
        <w:rPr>
          <w:rFonts w:ascii="Times New Roman" w:hAnsi="Times New Roman" w:eastAsia="仿宋_GB2312" w:cs="????_GB18030"/>
          <w:b/>
          <w:color w:val="auto"/>
          <w:sz w:val="32"/>
          <w:szCs w:val="32"/>
          <w:highlight w:val="none"/>
        </w:rPr>
      </w:pPr>
      <w:r>
        <w:rPr>
          <w:rFonts w:hint="eastAsia" w:ascii="楷体_GB2312" w:hAnsi="楷体" w:eastAsia="楷体_GB2312" w:cs="????_GB18030"/>
          <w:b/>
          <w:color w:val="auto"/>
          <w:sz w:val="32"/>
          <w:szCs w:val="32"/>
          <w:highlight w:val="none"/>
        </w:rPr>
        <w:t>（一）</w:t>
      </w:r>
      <w:r>
        <w:rPr>
          <w:rFonts w:hint="eastAsia" w:ascii="楷体_GB2312" w:hAnsi="楷体" w:eastAsia="楷体_GB2312" w:cs="????_GB18030"/>
          <w:b/>
          <w:color w:val="auto"/>
          <w:sz w:val="32"/>
          <w:szCs w:val="32"/>
          <w:highlight w:val="none"/>
          <w:lang w:val="en-US" w:eastAsia="zh-CN"/>
        </w:rPr>
        <w:t>企事业单位</w:t>
      </w:r>
      <w:r>
        <w:rPr>
          <w:rFonts w:hint="eastAsia" w:ascii="楷体_GB2312" w:hAnsi="楷体" w:eastAsia="楷体_GB2312" w:cs="????_GB18030"/>
          <w:b/>
          <w:color w:val="auto"/>
          <w:sz w:val="32"/>
          <w:szCs w:val="32"/>
          <w:highlight w:val="none"/>
        </w:rPr>
        <w:t>全面自查。</w:t>
      </w:r>
      <w:r>
        <w:rPr>
          <w:rFonts w:hint="eastAsia" w:ascii="Times New Roman" w:hAnsi="Times New Roman" w:eastAsia="仿宋_GB2312" w:cs="????_GB18030"/>
          <w:color w:val="auto"/>
          <w:sz w:val="32"/>
          <w:szCs w:val="32"/>
          <w:highlight w:val="none"/>
        </w:rPr>
        <w:t>各单位必须对本单位安全生产工作进行全面深入、细致彻底的专项排查整治。按照相关法律法规、规程规范和技术标准要求，认真检查排查整治事故易发的重点场所、要害部位、关键环节，对排查出的隐患、问题要列出清单、建立台账，制订整改方案，落实整改措施、责任、资金、时限和预案，并对本单位安全生产状况进行全面评估。排查情况、整改方案和整改结果，都要经本单位主要负责人签字，在单位内部公布，接受职工群众监督，并报属地安全监管部门和行业管理部门。</w:t>
      </w:r>
      <w:r>
        <w:rPr>
          <w:rFonts w:hint="eastAsia" w:ascii="Times New Roman" w:hAnsi="Times New Roman" w:eastAsia="仿宋_GB2312" w:cs="????_GB18030"/>
          <w:b/>
          <w:color w:val="auto"/>
          <w:sz w:val="32"/>
          <w:szCs w:val="32"/>
          <w:highlight w:val="none"/>
        </w:rPr>
        <w:t>专项排查整治期间，</w:t>
      </w:r>
      <w:r>
        <w:rPr>
          <w:rFonts w:hint="eastAsia" w:ascii="Times New Roman" w:hAnsi="Times New Roman" w:eastAsia="仿宋_GB2312" w:cs="????_GB18030"/>
          <w:b/>
          <w:color w:val="auto"/>
          <w:sz w:val="32"/>
          <w:szCs w:val="32"/>
          <w:highlight w:val="none"/>
          <w:lang w:eastAsia="zh-CN"/>
        </w:rPr>
        <w:t>各单位</w:t>
      </w:r>
      <w:r>
        <w:rPr>
          <w:rFonts w:hint="eastAsia" w:ascii="Times New Roman" w:hAnsi="Times New Roman" w:eastAsia="仿宋_GB2312" w:cs="????_GB18030"/>
          <w:b/>
          <w:color w:val="auto"/>
          <w:sz w:val="32"/>
          <w:szCs w:val="32"/>
          <w:highlight w:val="none"/>
        </w:rPr>
        <w:t>自查自纠要不间断进行，对排查出来的所有隐患问题要立行立改</w:t>
      </w:r>
      <w:r>
        <w:rPr>
          <w:rFonts w:ascii="Times New Roman" w:hAnsi="Times New Roman" w:eastAsia="仿宋_GB2312" w:cs="????_GB18030"/>
          <w:b/>
          <w:color w:val="auto"/>
          <w:sz w:val="32"/>
          <w:szCs w:val="32"/>
          <w:highlight w:val="none"/>
        </w:rPr>
        <w:t>、即知</w:t>
      </w:r>
      <w:r>
        <w:rPr>
          <w:rFonts w:hint="eastAsia" w:ascii="Times New Roman" w:hAnsi="Times New Roman" w:eastAsia="仿宋_GB2312" w:cs="????_GB18030"/>
          <w:b/>
          <w:color w:val="auto"/>
          <w:sz w:val="32"/>
          <w:szCs w:val="32"/>
          <w:highlight w:val="none"/>
        </w:rPr>
        <w:t>即改</w:t>
      </w:r>
      <w:r>
        <w:rPr>
          <w:rFonts w:ascii="Times New Roman" w:hAnsi="Times New Roman" w:eastAsia="仿宋_GB2312" w:cs="????_GB18030"/>
          <w:b/>
          <w:color w:val="auto"/>
          <w:sz w:val="32"/>
          <w:szCs w:val="32"/>
          <w:highlight w:val="none"/>
        </w:rPr>
        <w:t>，</w:t>
      </w:r>
      <w:r>
        <w:rPr>
          <w:rFonts w:hint="eastAsia" w:ascii="Times New Roman" w:hAnsi="Times New Roman" w:eastAsia="仿宋_GB2312" w:cs="????_GB18030"/>
          <w:b/>
          <w:color w:val="auto"/>
          <w:sz w:val="32"/>
          <w:szCs w:val="32"/>
          <w:highlight w:val="none"/>
        </w:rPr>
        <w:t>形成闭环销号管理。</w:t>
      </w:r>
    </w:p>
    <w:p>
      <w:pPr>
        <w:keepNext w:val="0"/>
        <w:keepLines w:val="0"/>
        <w:pageBreakBefore w:val="0"/>
        <w:widowControl w:val="0"/>
        <w:kinsoku/>
        <w:wordWrap/>
        <w:overflowPunct/>
        <w:topLinePunct w:val="0"/>
        <w:bidi w:val="0"/>
        <w:snapToGrid/>
        <w:spacing w:line="560" w:lineRule="exact"/>
        <w:ind w:firstLine="627" w:firstLineChars="200"/>
        <w:textAlignment w:val="auto"/>
        <w:outlineLvl w:val="9"/>
        <w:rPr>
          <w:rFonts w:ascii="Times New Roman" w:hAnsi="Times New Roman" w:eastAsia="仿宋_GB2312" w:cs="楷体"/>
          <w:b/>
          <w:bCs/>
          <w:color w:val="auto"/>
          <w:sz w:val="32"/>
          <w:szCs w:val="32"/>
          <w:highlight w:val="none"/>
        </w:rPr>
      </w:pPr>
      <w:r>
        <w:rPr>
          <w:rFonts w:hint="eastAsia" w:ascii="楷体_GB2312" w:hAnsi="楷体" w:eastAsia="楷体_GB2312" w:cs="????_GB18030"/>
          <w:b/>
          <w:color w:val="auto"/>
          <w:sz w:val="32"/>
          <w:szCs w:val="32"/>
          <w:highlight w:val="none"/>
        </w:rPr>
        <w:t>（二）部门专项执法检查。</w:t>
      </w:r>
      <w:r>
        <w:rPr>
          <w:rFonts w:hint="eastAsia" w:ascii="Times New Roman" w:hAnsi="Times New Roman" w:eastAsia="仿宋_GB2312" w:cs="????_GB18030"/>
          <w:color w:val="auto"/>
          <w:sz w:val="32"/>
          <w:szCs w:val="32"/>
          <w:highlight w:val="none"/>
        </w:rPr>
        <w:t>各</w:t>
      </w:r>
      <w:r>
        <w:rPr>
          <w:rFonts w:hint="eastAsia" w:ascii="Times New Roman" w:hAnsi="Times New Roman" w:eastAsia="仿宋_GB2312" w:cs="????_GB18030"/>
          <w:color w:val="auto"/>
          <w:sz w:val="32"/>
          <w:szCs w:val="32"/>
          <w:highlight w:val="none"/>
          <w:lang w:eastAsia="zh-CN"/>
        </w:rPr>
        <w:t>区级相关</w:t>
      </w:r>
      <w:r>
        <w:rPr>
          <w:rFonts w:hint="eastAsia" w:ascii="Times New Roman" w:hAnsi="Times New Roman" w:eastAsia="仿宋_GB2312" w:cs="????_GB18030"/>
          <w:color w:val="auto"/>
          <w:sz w:val="32"/>
          <w:szCs w:val="32"/>
          <w:highlight w:val="none"/>
        </w:rPr>
        <w:t>部门要按照“管行业必须管安全、管业务必须管安全、管生产经营必须管安全”</w:t>
      </w:r>
      <w:r>
        <w:rPr>
          <w:rFonts w:hint="eastAsia" w:ascii="Times New Roman" w:hAnsi="Times New Roman" w:eastAsia="仿宋_GB2312" w:cs="????_GB18030"/>
          <w:color w:val="auto"/>
          <w:sz w:val="32"/>
          <w:szCs w:val="32"/>
          <w:highlight w:val="none"/>
          <w:lang w:eastAsia="zh-CN"/>
        </w:rPr>
        <w:t>，坚持</w:t>
      </w:r>
      <w:r>
        <w:rPr>
          <w:rFonts w:hint="eastAsia" w:ascii="Times New Roman" w:hAnsi="Times New Roman" w:eastAsia="仿宋_GB2312" w:cs="????_GB18030"/>
          <w:color w:val="auto"/>
          <w:sz w:val="32"/>
          <w:szCs w:val="32"/>
          <w:highlight w:val="none"/>
        </w:rPr>
        <w:t>“谁主管谁负责”，负责具体组织实施所属行业领域的安全生产专项排查整治工作，并组织开展专项检查督查。专项检查督查、执法检查采取“四不两直”暗访暗查方式开展，对检查发现的安全生产违法违规行为，要</w:t>
      </w:r>
      <w:r>
        <w:rPr>
          <w:rFonts w:hint="eastAsia" w:ascii="Times New Roman" w:hAnsi="Times New Roman" w:eastAsia="仿宋_GB2312" w:cs="仿宋"/>
          <w:color w:val="auto"/>
          <w:kern w:val="0"/>
          <w:sz w:val="32"/>
          <w:szCs w:val="32"/>
          <w:highlight w:val="none"/>
          <w:shd w:val="clear" w:color="auto" w:fill="FFFFFF"/>
          <w:lang w:bidi="ar"/>
        </w:rPr>
        <w:t>加大执法力度，该罚款的坚决罚款，该停产的坚决停产，</w:t>
      </w:r>
      <w:r>
        <w:rPr>
          <w:rFonts w:hint="eastAsia" w:ascii="Times New Roman" w:hAnsi="Times New Roman" w:eastAsia="仿宋_GB2312" w:cs="????_GB18030"/>
          <w:color w:val="auto"/>
          <w:sz w:val="32"/>
          <w:szCs w:val="32"/>
          <w:highlight w:val="none"/>
        </w:rPr>
        <w:t>该关闭取缔的要坚决提请政府依法关闭取缔。检查发现的重大问题隐患要立即立案处罚，并抄送区安委会办公室，做好整改情况跟踪督导。</w:t>
      </w:r>
      <w:r>
        <w:rPr>
          <w:rFonts w:hint="eastAsia" w:ascii="Times New Roman" w:hAnsi="Times New Roman" w:eastAsia="仿宋_GB2312" w:cs="楷体"/>
          <w:b/>
          <w:bCs/>
          <w:color w:val="auto"/>
          <w:sz w:val="32"/>
          <w:szCs w:val="32"/>
          <w:highlight w:val="none"/>
        </w:rPr>
        <w:t>专项排查整治期间，区级相关部门每月至少开展</w:t>
      </w:r>
      <w:r>
        <w:rPr>
          <w:rFonts w:hint="eastAsia" w:ascii="仿宋_GB2312" w:hAnsi="仿宋_GB2312" w:eastAsia="仿宋_GB2312" w:cs="仿宋_GB2312"/>
          <w:b/>
          <w:bCs/>
          <w:color w:val="auto"/>
          <w:sz w:val="32"/>
          <w:szCs w:val="32"/>
          <w:highlight w:val="none"/>
          <w:lang w:val="en-US" w:eastAsia="zh-CN"/>
        </w:rPr>
        <w:t>1</w:t>
      </w:r>
      <w:r>
        <w:rPr>
          <w:rFonts w:hint="eastAsia" w:ascii="仿宋_GB2312" w:hAnsi="仿宋_GB2312" w:eastAsia="仿宋_GB2312" w:cs="仿宋_GB2312"/>
          <w:b/>
          <w:bCs/>
          <w:color w:val="auto"/>
          <w:sz w:val="32"/>
          <w:szCs w:val="32"/>
          <w:highlight w:val="none"/>
        </w:rPr>
        <w:t>次</w:t>
      </w:r>
      <w:r>
        <w:rPr>
          <w:rFonts w:hint="eastAsia" w:ascii="Times New Roman" w:hAnsi="Times New Roman" w:eastAsia="仿宋_GB2312" w:cs="楷体"/>
          <w:b/>
          <w:bCs/>
          <w:color w:val="auto"/>
          <w:sz w:val="32"/>
          <w:szCs w:val="32"/>
          <w:highlight w:val="none"/>
        </w:rPr>
        <w:t>专项检查督查或执法检查。</w:t>
      </w:r>
    </w:p>
    <w:p>
      <w:pPr>
        <w:keepNext w:val="0"/>
        <w:keepLines w:val="0"/>
        <w:pageBreakBefore w:val="0"/>
        <w:widowControl w:val="0"/>
        <w:kinsoku/>
        <w:wordWrap/>
        <w:overflowPunct/>
        <w:topLinePunct w:val="0"/>
        <w:bidi w:val="0"/>
        <w:snapToGrid/>
        <w:spacing w:line="560" w:lineRule="exact"/>
        <w:ind w:firstLine="627" w:firstLineChars="200"/>
        <w:textAlignment w:val="auto"/>
        <w:outlineLvl w:val="9"/>
        <w:rPr>
          <w:rFonts w:hint="default" w:ascii="Times New Roman" w:hAnsi="Times New Roman" w:eastAsia="仿宋_GB2312" w:cs="????_GB18030"/>
          <w:color w:val="auto"/>
          <w:sz w:val="32"/>
          <w:szCs w:val="32"/>
          <w:highlight w:val="none"/>
          <w:lang w:val="en-US" w:eastAsia="zh-CN"/>
        </w:rPr>
      </w:pPr>
      <w:r>
        <w:rPr>
          <w:rFonts w:hint="eastAsia" w:ascii="楷体_GB2312" w:hAnsi="楷体" w:eastAsia="楷体_GB2312" w:cs="????_GB18030"/>
          <w:b/>
          <w:color w:val="auto"/>
          <w:sz w:val="32"/>
          <w:szCs w:val="32"/>
          <w:highlight w:val="none"/>
        </w:rPr>
        <w:t>（三）乡镇</w:t>
      </w:r>
      <w:r>
        <w:rPr>
          <w:rFonts w:hint="eastAsia" w:ascii="楷体_GB2312" w:hAnsi="楷体" w:eastAsia="楷体_GB2312" w:cs="????_GB18030"/>
          <w:b/>
          <w:color w:val="auto"/>
          <w:sz w:val="32"/>
          <w:szCs w:val="32"/>
          <w:highlight w:val="none"/>
          <w:lang w:eastAsia="zh-CN"/>
        </w:rPr>
        <w:t>综合督查</w:t>
      </w:r>
      <w:r>
        <w:rPr>
          <w:rFonts w:hint="eastAsia" w:ascii="楷体_GB2312" w:hAnsi="楷体" w:eastAsia="楷体_GB2312" w:cs="????_GB18030"/>
          <w:b/>
          <w:color w:val="auto"/>
          <w:sz w:val="32"/>
          <w:szCs w:val="32"/>
          <w:highlight w:val="none"/>
        </w:rPr>
        <w:t>。</w:t>
      </w:r>
      <w:r>
        <w:rPr>
          <w:rFonts w:hint="eastAsia" w:ascii="Times New Roman" w:hAnsi="Times New Roman" w:eastAsia="仿宋_GB2312" w:cs="????_GB18030"/>
          <w:color w:val="auto"/>
          <w:sz w:val="32"/>
          <w:szCs w:val="32"/>
          <w:highlight w:val="none"/>
        </w:rPr>
        <w:t>各乡镇对本辖区内的安全生产专项排查整治工作负总责，具体组织实施本行政区域内的安全生产专项排查整治工作。</w:t>
      </w:r>
      <w:r>
        <w:rPr>
          <w:rFonts w:hint="eastAsia" w:ascii="仿宋_GB2312" w:hAnsi="仿宋_GB2312" w:eastAsia="仿宋_GB2312" w:cs="仿宋_GB2312"/>
          <w:b/>
          <w:bCs/>
          <w:color w:val="auto"/>
          <w:sz w:val="32"/>
          <w:szCs w:val="32"/>
          <w:highlight w:val="none"/>
        </w:rPr>
        <w:t>专项排查整治期间，</w:t>
      </w:r>
      <w:r>
        <w:rPr>
          <w:rFonts w:hint="eastAsia" w:ascii="仿宋_GB2312" w:hAnsi="仿宋_GB2312" w:eastAsia="仿宋_GB2312" w:cs="仿宋_GB2312"/>
          <w:b/>
          <w:bCs/>
          <w:color w:val="auto"/>
          <w:sz w:val="32"/>
          <w:szCs w:val="32"/>
          <w:highlight w:val="none"/>
          <w:lang w:eastAsia="zh-CN"/>
        </w:rPr>
        <w:t>各乡镇要根据各自辖区特点，精准制定实施方案，部署落实，并至少开展</w:t>
      </w:r>
      <w:r>
        <w:rPr>
          <w:rFonts w:hint="eastAsia" w:ascii="仿宋_GB2312" w:hAnsi="仿宋_GB2312" w:eastAsia="仿宋_GB2312" w:cs="仿宋_GB2312"/>
          <w:b/>
          <w:bCs/>
          <w:color w:val="auto"/>
          <w:sz w:val="32"/>
          <w:szCs w:val="32"/>
          <w:highlight w:val="none"/>
          <w:lang w:val="en-US" w:eastAsia="zh-CN"/>
        </w:rPr>
        <w:t>2次综合督查。</w:t>
      </w:r>
    </w:p>
    <w:p>
      <w:pPr>
        <w:keepNext w:val="0"/>
        <w:keepLines w:val="0"/>
        <w:pageBreakBefore w:val="0"/>
        <w:widowControl w:val="0"/>
        <w:kinsoku/>
        <w:wordWrap/>
        <w:overflowPunct/>
        <w:topLinePunct w:val="0"/>
        <w:bidi w:val="0"/>
        <w:snapToGrid/>
        <w:spacing w:line="560" w:lineRule="exact"/>
        <w:ind w:firstLine="627" w:firstLineChars="200"/>
        <w:textAlignment w:val="auto"/>
        <w:outlineLvl w:val="9"/>
        <w:rPr>
          <w:rFonts w:ascii="Times New Roman" w:hAnsi="Times New Roman" w:eastAsia="仿宋_GB2312" w:cs="????_GB18030"/>
          <w:color w:val="auto"/>
          <w:sz w:val="32"/>
          <w:szCs w:val="32"/>
          <w:highlight w:val="none"/>
        </w:rPr>
      </w:pPr>
      <w:r>
        <w:rPr>
          <w:rFonts w:hint="eastAsia" w:ascii="楷体_GB2312" w:hAnsi="楷体" w:eastAsia="楷体_GB2312" w:cs="????_GB18030"/>
          <w:b/>
          <w:color w:val="auto"/>
          <w:sz w:val="32"/>
          <w:szCs w:val="32"/>
          <w:highlight w:val="none"/>
        </w:rPr>
        <w:t>（四）</w:t>
      </w:r>
      <w:r>
        <w:rPr>
          <w:rFonts w:hint="eastAsia" w:ascii="楷体_GB2312" w:hAnsi="楷体" w:eastAsia="楷体_GB2312" w:cs="????_GB18030"/>
          <w:b/>
          <w:color w:val="auto"/>
          <w:sz w:val="32"/>
          <w:szCs w:val="32"/>
          <w:highlight w:val="none"/>
          <w:lang w:eastAsia="zh-CN"/>
        </w:rPr>
        <w:t>区级</w:t>
      </w:r>
      <w:r>
        <w:rPr>
          <w:rFonts w:hint="eastAsia" w:ascii="楷体_GB2312" w:hAnsi="楷体" w:eastAsia="楷体_GB2312" w:cs="????_GB18030"/>
          <w:b/>
          <w:color w:val="auto"/>
          <w:sz w:val="32"/>
          <w:szCs w:val="32"/>
          <w:highlight w:val="none"/>
        </w:rPr>
        <w:t>综合督查。</w:t>
      </w:r>
      <w:r>
        <w:rPr>
          <w:rFonts w:hint="eastAsia" w:ascii="Times New Roman" w:hAnsi="Times New Roman" w:eastAsia="仿宋_GB2312" w:cs="????_GB18030"/>
          <w:color w:val="auto"/>
          <w:sz w:val="32"/>
          <w:szCs w:val="32"/>
          <w:highlight w:val="none"/>
        </w:rPr>
        <w:t>专项排查整治期间，区安委会办公室将会同有关专业委员会组成综合督查组开展至少</w:t>
      </w: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rPr>
        <w:t>次</w:t>
      </w:r>
      <w:r>
        <w:rPr>
          <w:rFonts w:hint="eastAsia" w:ascii="Times New Roman" w:hAnsi="Times New Roman" w:eastAsia="仿宋_GB2312" w:cs="????_GB18030"/>
          <w:color w:val="auto"/>
          <w:sz w:val="32"/>
          <w:szCs w:val="32"/>
          <w:highlight w:val="none"/>
        </w:rPr>
        <w:t>综合督查，并每月集中曝光一批重大事故隐患和严重违法违规行为，公布一批实施联合惩戒和“黑名单”管理企业，通报一批依法关闭取缔的违法违规和不符合安全生产条件的企业，实现“惩治一个、震慑一片”的警示效果。</w:t>
      </w:r>
      <w:r>
        <w:rPr>
          <w:rFonts w:hint="eastAsia" w:ascii="Times New Roman" w:hAnsi="Times New Roman" w:eastAsia="仿宋_GB2312" w:cs="????_GB18030"/>
          <w:color w:val="auto"/>
          <w:sz w:val="32"/>
          <w:szCs w:val="32"/>
          <w:highlight w:val="none"/>
          <w:lang w:eastAsia="zh-CN"/>
        </w:rPr>
        <w:t>将</w:t>
      </w:r>
      <w:r>
        <w:rPr>
          <w:rFonts w:hint="eastAsia" w:ascii="Times New Roman" w:hAnsi="Times New Roman" w:eastAsia="仿宋_GB2312" w:cs="????_GB18030"/>
          <w:color w:val="auto"/>
          <w:sz w:val="32"/>
          <w:szCs w:val="32"/>
          <w:highlight w:val="none"/>
        </w:rPr>
        <w:t>本次专项排查整治开展情况作为</w:t>
      </w:r>
      <w:r>
        <w:rPr>
          <w:rFonts w:hint="eastAsia" w:ascii="仿宋_GB2312" w:hAnsi="仿宋_GB2312" w:eastAsia="仿宋_GB2312" w:cs="仿宋_GB2312"/>
          <w:color w:val="auto"/>
          <w:sz w:val="32"/>
          <w:szCs w:val="32"/>
          <w:highlight w:val="none"/>
          <w:lang w:val="en-US" w:eastAsia="zh-CN"/>
        </w:rPr>
        <w:t>2023</w:t>
      </w:r>
      <w:r>
        <w:rPr>
          <w:rFonts w:hint="eastAsia" w:ascii="仿宋_GB2312" w:hAnsi="仿宋_GB2312" w:eastAsia="仿宋_GB2312" w:cs="仿宋_GB2312"/>
          <w:color w:val="auto"/>
          <w:sz w:val="32"/>
          <w:szCs w:val="32"/>
          <w:highlight w:val="none"/>
        </w:rPr>
        <w:t>年</w:t>
      </w:r>
      <w:r>
        <w:rPr>
          <w:rFonts w:hint="eastAsia" w:ascii="Times New Roman" w:hAnsi="Times New Roman" w:eastAsia="仿宋_GB2312" w:cs="????_GB18030"/>
          <w:color w:val="auto"/>
          <w:sz w:val="32"/>
          <w:szCs w:val="32"/>
          <w:highlight w:val="none"/>
        </w:rPr>
        <w:t>度安全生产和消防工作履职考核的重要内容。</w:t>
      </w:r>
    </w:p>
    <w:p>
      <w:pPr>
        <w:keepNext w:val="0"/>
        <w:keepLines w:val="0"/>
        <w:pageBreakBefore w:val="0"/>
        <w:widowControl w:val="0"/>
        <w:shd w:val="clear"/>
        <w:kinsoku/>
        <w:wordWrap/>
        <w:overflowPunct/>
        <w:topLinePunct w:val="0"/>
        <w:bidi w:val="0"/>
        <w:snapToGrid/>
        <w:spacing w:line="560" w:lineRule="exact"/>
        <w:ind w:firstLine="624" w:firstLineChars="200"/>
        <w:textAlignment w:val="auto"/>
        <w:outlineLvl w:val="9"/>
        <w:rPr>
          <w:rFonts w:hint="eastAsia" w:ascii="黑体" w:hAnsi="黑体" w:eastAsia="黑体" w:cs="黑体"/>
          <w:color w:val="auto"/>
          <w:kern w:val="2"/>
          <w:sz w:val="32"/>
          <w:szCs w:val="32"/>
        </w:rPr>
      </w:pPr>
      <w:r>
        <w:rPr>
          <w:rFonts w:hint="eastAsia" w:ascii="黑体" w:hAnsi="黑体" w:eastAsia="黑体" w:cs="黑体"/>
          <w:color w:val="auto"/>
          <w:kern w:val="2"/>
          <w:sz w:val="32"/>
          <w:szCs w:val="32"/>
        </w:rPr>
        <w:t>四、工作要求</w:t>
      </w:r>
    </w:p>
    <w:p>
      <w:pPr>
        <w:keepNext w:val="0"/>
        <w:keepLines w:val="0"/>
        <w:pageBreakBefore w:val="0"/>
        <w:widowControl w:val="0"/>
        <w:shd w:val="clear"/>
        <w:kinsoku/>
        <w:wordWrap/>
        <w:overflowPunct/>
        <w:topLinePunct w:val="0"/>
        <w:bidi w:val="0"/>
        <w:snapToGrid/>
        <w:spacing w:line="560" w:lineRule="exact"/>
        <w:ind w:firstLine="627" w:firstLineChars="200"/>
        <w:textAlignment w:val="auto"/>
        <w:outlineLvl w:val="9"/>
        <w:rPr>
          <w:rFonts w:hint="eastAsia" w:ascii="仿宋_GB2312" w:hAnsi="仿宋_GB2312" w:eastAsia="仿宋_GB2312" w:cs="仿宋_GB2312"/>
          <w:color w:val="auto"/>
          <w:kern w:val="2"/>
          <w:sz w:val="32"/>
          <w:szCs w:val="32"/>
        </w:rPr>
      </w:pPr>
      <w:r>
        <w:rPr>
          <w:rFonts w:hint="eastAsia" w:ascii="楷体_GB2312" w:hAnsi="楷体_GB2312" w:eastAsia="楷体_GB2312" w:cs="楷体_GB2312"/>
          <w:b/>
          <w:bCs/>
          <w:color w:val="auto"/>
          <w:kern w:val="2"/>
          <w:sz w:val="32"/>
          <w:szCs w:val="32"/>
        </w:rPr>
        <w:t>（一）加强组织领导。</w:t>
      </w:r>
      <w:r>
        <w:rPr>
          <w:rFonts w:hint="eastAsia" w:ascii="仿宋_GB2312" w:hAnsi="仿宋_GB2312" w:eastAsia="仿宋_GB2312" w:cs="仿宋_GB2312"/>
          <w:color w:val="auto"/>
          <w:kern w:val="2"/>
          <w:sz w:val="32"/>
          <w:szCs w:val="32"/>
        </w:rPr>
        <w:t>各乡镇、各部门、各单位要高度重视这次安全生产专项排查整治工作，结合实际分析研判、精心组织，制定相应措施方案，抓紧梳理风险隐患，建立台账，建立清单，明确责任。党政主要负责同志要亲力亲为、靠前协调，集中力量，细化措施，组织开展本地区、本行业领域专项排查整治工作，充分发挥各级安委办统筹协调作用，加强安全生产专项排查整治的组织协调、督促检查等工作，狠抓各项工作落实。</w:t>
      </w:r>
    </w:p>
    <w:p>
      <w:pPr>
        <w:keepNext w:val="0"/>
        <w:keepLines w:val="0"/>
        <w:pageBreakBefore w:val="0"/>
        <w:widowControl w:val="0"/>
        <w:shd w:val="clear"/>
        <w:kinsoku/>
        <w:wordWrap/>
        <w:overflowPunct/>
        <w:topLinePunct w:val="0"/>
        <w:bidi w:val="0"/>
        <w:snapToGrid/>
        <w:spacing w:line="560" w:lineRule="exact"/>
        <w:ind w:firstLine="627" w:firstLineChars="200"/>
        <w:textAlignment w:val="auto"/>
        <w:outlineLvl w:val="9"/>
        <w:rPr>
          <w:rFonts w:hint="eastAsia" w:ascii="仿宋_GB2312" w:hAnsi="仿宋_GB2312" w:eastAsia="仿宋_GB2312" w:cs="仿宋_GB2312"/>
          <w:color w:val="auto"/>
          <w:kern w:val="2"/>
          <w:sz w:val="32"/>
          <w:szCs w:val="32"/>
        </w:rPr>
      </w:pPr>
      <w:r>
        <w:rPr>
          <w:rFonts w:hint="eastAsia" w:ascii="楷体_GB2312" w:hAnsi="楷体_GB2312" w:eastAsia="楷体_GB2312" w:cs="楷体_GB2312"/>
          <w:b/>
          <w:bCs/>
          <w:color w:val="auto"/>
          <w:sz w:val="32"/>
          <w:szCs w:val="32"/>
        </w:rPr>
        <w:t>（</w:t>
      </w:r>
      <w:r>
        <w:rPr>
          <w:rFonts w:hint="eastAsia" w:ascii="楷体_GB2312" w:hAnsi="楷体_GB2312" w:eastAsia="楷体_GB2312" w:cs="楷体_GB2312"/>
          <w:b/>
          <w:bCs/>
          <w:color w:val="auto"/>
          <w:sz w:val="32"/>
          <w:szCs w:val="32"/>
          <w:lang w:eastAsia="zh-CN"/>
        </w:rPr>
        <w:t>二</w:t>
      </w:r>
      <w:r>
        <w:rPr>
          <w:rFonts w:hint="eastAsia" w:ascii="楷体_GB2312" w:hAnsi="楷体_GB2312" w:eastAsia="楷体_GB2312" w:cs="楷体_GB2312"/>
          <w:b/>
          <w:bCs/>
          <w:color w:val="auto"/>
          <w:sz w:val="32"/>
          <w:szCs w:val="32"/>
        </w:rPr>
        <w:t>）突出主体责任。</w:t>
      </w:r>
      <w:r>
        <w:rPr>
          <w:rFonts w:hint="eastAsia" w:ascii="仿宋_GB2312" w:hAnsi="仿宋_GB2312" w:eastAsia="仿宋_GB2312" w:cs="仿宋_GB2312"/>
          <w:color w:val="auto"/>
          <w:kern w:val="2"/>
          <w:sz w:val="32"/>
          <w:szCs w:val="32"/>
        </w:rPr>
        <w:t>要督促企业严格落实全员安全生产责任制，将安全生产责任压实到企业每个岗位、每个人员，确保责任链条不空一岗、不落一人。特别是要抓好企业主要负责人这个关键少数，督促企业主要负责人履行好第一责任人责任，牵头落实好各项安全生产制度措施，健全承包发包安全管理、落实安全生产统一管理和保障责任，切实提升企业安全生产治理能力。</w:t>
      </w:r>
    </w:p>
    <w:p>
      <w:pPr>
        <w:keepNext w:val="0"/>
        <w:keepLines w:val="0"/>
        <w:pageBreakBefore w:val="0"/>
        <w:widowControl w:val="0"/>
        <w:kinsoku/>
        <w:wordWrap/>
        <w:overflowPunct/>
        <w:topLinePunct w:val="0"/>
        <w:bidi w:val="0"/>
        <w:snapToGrid/>
        <w:spacing w:line="560" w:lineRule="exact"/>
        <w:ind w:firstLine="627" w:firstLineChars="200"/>
        <w:textAlignment w:val="auto"/>
        <w:outlineLvl w:val="9"/>
        <w:rPr>
          <w:rFonts w:ascii="Times New Roman" w:hAnsi="Times New Roman" w:eastAsia="仿宋_GB2312" w:cs="宋体"/>
          <w:color w:val="auto"/>
          <w:kern w:val="0"/>
          <w:sz w:val="32"/>
          <w:szCs w:val="32"/>
          <w:highlight w:val="none"/>
        </w:rPr>
      </w:pPr>
      <w:r>
        <w:rPr>
          <w:rFonts w:hint="eastAsia" w:ascii="楷体_GB2312" w:hAnsi="楷体" w:eastAsia="楷体_GB2312" w:cs="宋体"/>
          <w:b/>
          <w:color w:val="auto"/>
          <w:kern w:val="0"/>
          <w:sz w:val="32"/>
          <w:szCs w:val="32"/>
          <w:highlight w:val="none"/>
        </w:rPr>
        <w:t>（</w:t>
      </w:r>
      <w:r>
        <w:rPr>
          <w:rFonts w:hint="eastAsia" w:ascii="楷体_GB2312" w:hAnsi="楷体" w:eastAsia="楷体_GB2312" w:cs="宋体"/>
          <w:b/>
          <w:color w:val="auto"/>
          <w:kern w:val="0"/>
          <w:sz w:val="32"/>
          <w:szCs w:val="32"/>
          <w:highlight w:val="none"/>
          <w:lang w:eastAsia="zh-CN"/>
        </w:rPr>
        <w:t>三</w:t>
      </w:r>
      <w:r>
        <w:rPr>
          <w:rFonts w:hint="eastAsia" w:ascii="楷体_GB2312" w:hAnsi="楷体" w:eastAsia="楷体_GB2312" w:cs="宋体"/>
          <w:b/>
          <w:color w:val="auto"/>
          <w:kern w:val="0"/>
          <w:sz w:val="32"/>
          <w:szCs w:val="32"/>
          <w:highlight w:val="none"/>
        </w:rPr>
        <w:t>）强化协调联动。</w:t>
      </w:r>
      <w:r>
        <w:rPr>
          <w:rFonts w:hint="eastAsia" w:ascii="Times New Roman" w:hAnsi="Times New Roman" w:eastAsia="仿宋_GB2312" w:cs="宋体"/>
          <w:color w:val="auto"/>
          <w:kern w:val="0"/>
          <w:sz w:val="32"/>
          <w:szCs w:val="32"/>
          <w:highlight w:val="none"/>
        </w:rPr>
        <w:t>各有关部门要结合自身职责制定专项排查整治具体工作措施，协调联动、通力协作，确保专项排查整治各项工作扎实有效开展。各牵头单位既要负责排查本行业领域隐患问题，同时负责督促指导本系统各级单位做好隐患排查工作，并按时收集、汇总、统计、上报隐患排查工作情况。各相关配合单位要依据职责职能配合好牵头单位开展工作。</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Times New Roman" w:hAnsi="Times New Roman" w:eastAsia="仿宋_GB2312" w:cs="仿宋"/>
          <w:color w:val="auto"/>
          <w:sz w:val="32"/>
          <w:szCs w:val="32"/>
          <w:highlight w:val="none"/>
        </w:rPr>
      </w:pPr>
      <w:r>
        <w:rPr>
          <w:rFonts w:hint="eastAsia" w:ascii="楷体_GB2312" w:hAnsi="楷体" w:eastAsia="楷体_GB2312" w:cs="楷体"/>
          <w:b/>
          <w:bCs/>
          <w:color w:val="auto"/>
          <w:sz w:val="32"/>
          <w:szCs w:val="32"/>
          <w:highlight w:val="none"/>
        </w:rPr>
        <w:t>（</w:t>
      </w:r>
      <w:r>
        <w:rPr>
          <w:rFonts w:hint="eastAsia" w:ascii="楷体_GB2312" w:hAnsi="楷体" w:eastAsia="楷体_GB2312" w:cs="楷体"/>
          <w:b/>
          <w:bCs/>
          <w:color w:val="auto"/>
          <w:sz w:val="32"/>
          <w:szCs w:val="32"/>
          <w:highlight w:val="none"/>
          <w:lang w:eastAsia="zh-CN"/>
        </w:rPr>
        <w:t>四</w:t>
      </w:r>
      <w:r>
        <w:rPr>
          <w:rFonts w:hint="eastAsia" w:ascii="楷体_GB2312" w:hAnsi="楷体" w:eastAsia="楷体_GB2312" w:cs="楷体"/>
          <w:b/>
          <w:bCs/>
          <w:color w:val="auto"/>
          <w:sz w:val="32"/>
          <w:szCs w:val="32"/>
          <w:highlight w:val="none"/>
        </w:rPr>
        <w:t>）严肃追责问责。</w:t>
      </w:r>
      <w:r>
        <w:rPr>
          <w:rFonts w:hint="eastAsia" w:ascii="Times New Roman" w:hAnsi="Times New Roman" w:eastAsia="仿宋_GB2312" w:cs="宋体"/>
          <w:color w:val="auto"/>
          <w:kern w:val="0"/>
          <w:sz w:val="32"/>
          <w:szCs w:val="32"/>
          <w:highlight w:val="none"/>
        </w:rPr>
        <w:t>坚持</w:t>
      </w:r>
      <w:r>
        <w:rPr>
          <w:rFonts w:ascii="Times New Roman" w:hAnsi="Times New Roman" w:eastAsia="仿宋_GB2312" w:cs="宋体"/>
          <w:color w:val="auto"/>
          <w:kern w:val="0"/>
          <w:sz w:val="32"/>
          <w:szCs w:val="32"/>
          <w:highlight w:val="none"/>
        </w:rPr>
        <w:t>对安全生产</w:t>
      </w:r>
      <w:r>
        <w:rPr>
          <w:rFonts w:hint="eastAsia" w:ascii="Times New Roman" w:hAnsi="Times New Roman" w:eastAsia="仿宋_GB2312" w:cs="宋体"/>
          <w:color w:val="auto"/>
          <w:kern w:val="0"/>
          <w:sz w:val="32"/>
          <w:szCs w:val="32"/>
          <w:highlight w:val="none"/>
        </w:rPr>
        <w:t>任何</w:t>
      </w:r>
      <w:r>
        <w:rPr>
          <w:rFonts w:ascii="Times New Roman" w:hAnsi="Times New Roman" w:eastAsia="仿宋_GB2312" w:cs="宋体"/>
          <w:color w:val="auto"/>
          <w:kern w:val="0"/>
          <w:sz w:val="32"/>
          <w:szCs w:val="32"/>
          <w:highlight w:val="none"/>
        </w:rPr>
        <w:t>违法违规行为、</w:t>
      </w:r>
      <w:r>
        <w:rPr>
          <w:rFonts w:hint="eastAsia" w:ascii="Times New Roman" w:hAnsi="Times New Roman" w:eastAsia="仿宋_GB2312" w:cs="宋体"/>
          <w:color w:val="auto"/>
          <w:kern w:val="0"/>
          <w:sz w:val="32"/>
          <w:szCs w:val="32"/>
          <w:highlight w:val="none"/>
        </w:rPr>
        <w:t>任何</w:t>
      </w:r>
      <w:r>
        <w:rPr>
          <w:rFonts w:ascii="Times New Roman" w:hAnsi="Times New Roman" w:eastAsia="仿宋_GB2312" w:cs="宋体"/>
          <w:color w:val="auto"/>
          <w:kern w:val="0"/>
          <w:sz w:val="32"/>
          <w:szCs w:val="32"/>
          <w:highlight w:val="none"/>
        </w:rPr>
        <w:t>弄虚作假行为</w:t>
      </w:r>
      <w:r>
        <w:rPr>
          <w:rFonts w:hint="eastAsia" w:ascii="Times New Roman" w:hAnsi="Times New Roman" w:eastAsia="仿宋_GB2312" w:cs="宋体"/>
          <w:color w:val="auto"/>
          <w:kern w:val="0"/>
          <w:sz w:val="32"/>
          <w:szCs w:val="32"/>
          <w:highlight w:val="none"/>
        </w:rPr>
        <w:t>“零容忍”</w:t>
      </w:r>
      <w:r>
        <w:rPr>
          <w:rFonts w:ascii="Times New Roman" w:hAnsi="Times New Roman" w:eastAsia="仿宋_GB2312" w:cs="宋体"/>
          <w:color w:val="auto"/>
          <w:kern w:val="0"/>
          <w:sz w:val="32"/>
          <w:szCs w:val="32"/>
          <w:highlight w:val="none"/>
        </w:rPr>
        <w:t>，</w:t>
      </w:r>
      <w:r>
        <w:rPr>
          <w:rFonts w:hint="eastAsia" w:ascii="Times New Roman" w:hAnsi="Times New Roman" w:eastAsia="仿宋_GB2312" w:cs="仿宋"/>
          <w:color w:val="auto"/>
          <w:sz w:val="32"/>
          <w:szCs w:val="32"/>
          <w:highlight w:val="none"/>
        </w:rPr>
        <w:t>对自查自改不认真、隐患整治不彻底，排查整治责任不落实、组织不得力、执法不严格的，借鉴监管执法“四种形态”，采用通报提醒、约谈曝光、联合惩戒、移交问责四种方式，严肃追究企业和有关属地政府及相关部门负责人的责任。责任和措施落实不到位导致事故发生的，依法严惩。</w:t>
      </w:r>
    </w:p>
    <w:p>
      <w:pPr>
        <w:keepNext w:val="0"/>
        <w:keepLines w:val="0"/>
        <w:pageBreakBefore w:val="0"/>
        <w:widowControl w:val="0"/>
        <w:shd w:val="clear"/>
        <w:kinsoku/>
        <w:wordWrap/>
        <w:overflowPunct/>
        <w:topLinePunct w:val="0"/>
        <w:bidi w:val="0"/>
        <w:snapToGrid/>
        <w:spacing w:line="560" w:lineRule="exact"/>
        <w:ind w:firstLine="627" w:firstLineChars="200"/>
        <w:textAlignment w:val="auto"/>
        <w:outlineLvl w:val="9"/>
        <w:rPr>
          <w:rFonts w:hint="eastAsia" w:ascii="仿宋_GB2312" w:hAnsi="仿宋_GB2312" w:eastAsia="仿宋_GB2312" w:cs="仿宋_GB2312"/>
          <w:color w:val="auto"/>
          <w:kern w:val="2"/>
          <w:sz w:val="32"/>
          <w:szCs w:val="32"/>
        </w:rPr>
      </w:pPr>
      <w:r>
        <w:rPr>
          <w:rFonts w:hint="eastAsia" w:ascii="楷体_GB2312" w:hAnsi="楷体" w:eastAsia="楷体_GB2312" w:cs="楷体"/>
          <w:b/>
          <w:bCs/>
          <w:color w:val="auto"/>
          <w:sz w:val="32"/>
          <w:szCs w:val="32"/>
          <w:highlight w:val="none"/>
        </w:rPr>
        <w:t>（五）强化</w:t>
      </w:r>
      <w:r>
        <w:rPr>
          <w:rFonts w:ascii="楷体_GB2312" w:hAnsi="楷体" w:eastAsia="楷体_GB2312" w:cs="楷体"/>
          <w:b/>
          <w:bCs/>
          <w:color w:val="auto"/>
          <w:sz w:val="32"/>
          <w:szCs w:val="32"/>
          <w:highlight w:val="none"/>
        </w:rPr>
        <w:t>工作纪律。</w:t>
      </w:r>
      <w:r>
        <w:rPr>
          <w:rFonts w:hint="eastAsia" w:ascii="仿宋_GB2312" w:hAnsi="仿宋_GB2312" w:eastAsia="仿宋_GB2312" w:cs="仿宋_GB2312"/>
          <w:color w:val="auto"/>
          <w:kern w:val="2"/>
          <w:sz w:val="32"/>
          <w:szCs w:val="32"/>
        </w:rPr>
        <w:t>各乡镇、各部门、各单位要坚持问题导向、需求导向、目标导向、效果导向相结合，注重对重点企业单位的明查暗访，注重检查实效，严防摆拍式、作秀式检查，严防搞“大呼隆”、走过场，力戒形式主义、官僚主义。要统筹好疫情防控和安全生产专项排查整治，有关人员要严格遵守疫情防控要求，严防疫情风险，确保牢牢守住疫情防控底线。</w:t>
      </w:r>
    </w:p>
    <w:p>
      <w:pPr>
        <w:keepNext w:val="0"/>
        <w:keepLines w:val="0"/>
        <w:pageBreakBefore w:val="0"/>
        <w:widowControl w:val="0"/>
        <w:shd w:val="clear"/>
        <w:kinsoku/>
        <w:wordWrap/>
        <w:overflowPunct/>
        <w:topLinePunct w:val="0"/>
        <w:bidi w:val="0"/>
        <w:snapToGrid/>
        <w:spacing w:line="560" w:lineRule="exact"/>
        <w:ind w:firstLine="624" w:firstLineChars="200"/>
        <w:textAlignment w:val="auto"/>
        <w:outlineLvl w:val="9"/>
        <w:rPr>
          <w:rFonts w:hint="eastAsia"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请各乡镇、各部门、各单位，自2022年12月起每月30日前</w:t>
      </w:r>
      <w:r>
        <w:rPr>
          <w:rFonts w:hint="eastAsia" w:ascii="仿宋_GB2312" w:hAnsi="仿宋_GB2312" w:eastAsia="仿宋_GB2312" w:cs="仿宋_GB2312"/>
          <w:color w:val="auto"/>
          <w:kern w:val="2"/>
          <w:sz w:val="32"/>
          <w:szCs w:val="32"/>
          <w:lang w:eastAsia="zh-CN"/>
        </w:rPr>
        <w:t>，</w:t>
      </w:r>
      <w:r>
        <w:rPr>
          <w:rFonts w:hint="eastAsia" w:ascii="仿宋_GB2312" w:hAnsi="仿宋_GB2312" w:eastAsia="仿宋_GB2312" w:cs="仿宋_GB2312"/>
          <w:color w:val="auto"/>
          <w:kern w:val="2"/>
          <w:sz w:val="32"/>
          <w:szCs w:val="32"/>
        </w:rPr>
        <w:t>将截</w:t>
      </w:r>
      <w:r>
        <w:rPr>
          <w:rFonts w:hint="eastAsia" w:ascii="仿宋_GB2312" w:hAnsi="仿宋_GB2312" w:eastAsia="仿宋_GB2312" w:cs="仿宋_GB2312"/>
          <w:color w:val="auto"/>
          <w:kern w:val="2"/>
          <w:sz w:val="32"/>
          <w:szCs w:val="32"/>
          <w:lang w:val="en-US" w:eastAsia="zh-CN"/>
        </w:rPr>
        <w:t>至</w:t>
      </w:r>
      <w:r>
        <w:rPr>
          <w:rFonts w:hint="eastAsia" w:ascii="仿宋_GB2312" w:hAnsi="仿宋_GB2312" w:eastAsia="仿宋_GB2312" w:cs="仿宋_GB2312"/>
          <w:color w:val="auto"/>
          <w:kern w:val="2"/>
          <w:sz w:val="32"/>
          <w:szCs w:val="32"/>
          <w:lang w:eastAsia="zh-CN"/>
        </w:rPr>
        <w:t>本</w:t>
      </w:r>
      <w:r>
        <w:rPr>
          <w:rFonts w:hint="eastAsia" w:ascii="仿宋_GB2312" w:hAnsi="仿宋_GB2312" w:eastAsia="仿宋_GB2312" w:cs="仿宋_GB2312"/>
          <w:color w:val="auto"/>
          <w:kern w:val="2"/>
          <w:sz w:val="32"/>
          <w:szCs w:val="32"/>
        </w:rPr>
        <w:t>月底本辖区、本系统、本单位</w:t>
      </w:r>
      <w:r>
        <w:rPr>
          <w:rFonts w:hint="eastAsia" w:ascii="仿宋_GB2312" w:hAnsi="仿宋_GB2312" w:eastAsia="仿宋_GB2312" w:cs="仿宋_GB2312"/>
          <w:color w:val="auto"/>
          <w:kern w:val="2"/>
          <w:sz w:val="32"/>
          <w:szCs w:val="32"/>
          <w:lang w:eastAsia="zh-CN"/>
        </w:rPr>
        <w:t>开</w:t>
      </w:r>
      <w:r>
        <w:rPr>
          <w:rFonts w:hint="eastAsia" w:ascii="仿宋_GB2312" w:hAnsi="仿宋_GB2312" w:eastAsia="仿宋_GB2312" w:cs="仿宋_GB2312"/>
          <w:color w:val="auto"/>
          <w:kern w:val="2"/>
          <w:sz w:val="32"/>
          <w:szCs w:val="32"/>
        </w:rPr>
        <w:t>展专项排查整治情况统计表（见</w:t>
      </w:r>
      <w:r>
        <w:rPr>
          <w:rFonts w:hint="eastAsia" w:ascii="仿宋_GB2312" w:hAnsi="仿宋_GB2312" w:eastAsia="仿宋_GB2312" w:cs="仿宋_GB2312"/>
          <w:color w:val="auto"/>
          <w:sz w:val="32"/>
          <w:szCs w:val="32"/>
        </w:rPr>
        <w:t>附件1）</w:t>
      </w:r>
      <w:r>
        <w:rPr>
          <w:rFonts w:hint="eastAsia" w:ascii="仿宋_GB2312" w:hAnsi="仿宋_GB2312" w:eastAsia="仿宋_GB2312" w:cs="仿宋_GB2312"/>
          <w:color w:val="auto"/>
          <w:kern w:val="2"/>
          <w:sz w:val="32"/>
          <w:szCs w:val="32"/>
          <w:lang w:eastAsia="zh-CN"/>
        </w:rPr>
        <w:t>、</w:t>
      </w:r>
      <w:r>
        <w:rPr>
          <w:rFonts w:hint="eastAsia" w:ascii="仿宋_GB2312" w:hAnsi="仿宋_GB2312" w:eastAsia="仿宋_GB2312" w:cs="仿宋_GB2312"/>
          <w:color w:val="auto"/>
          <w:sz w:val="32"/>
          <w:szCs w:val="32"/>
        </w:rPr>
        <w:t>检查发现的问题隐患清单</w:t>
      </w:r>
      <w:r>
        <w:rPr>
          <w:rFonts w:hint="eastAsia" w:ascii="仿宋_GB2312" w:hAnsi="仿宋_GB2312" w:eastAsia="仿宋_GB2312" w:cs="仿宋_GB2312"/>
          <w:color w:val="auto"/>
          <w:kern w:val="2"/>
          <w:sz w:val="32"/>
          <w:szCs w:val="32"/>
        </w:rPr>
        <w:t>（见附件2，</w:t>
      </w:r>
      <w:r>
        <w:rPr>
          <w:rFonts w:hint="eastAsia" w:ascii="仿宋_GB2312" w:hAnsi="仿宋_GB2312" w:eastAsia="仿宋_GB2312" w:cs="仿宋_GB2312"/>
          <w:b w:val="0"/>
          <w:bCs w:val="0"/>
          <w:color w:val="auto"/>
          <w:kern w:val="2"/>
          <w:sz w:val="32"/>
          <w:szCs w:val="32"/>
        </w:rPr>
        <w:t>各牵头部门每月上报至少一项重大隐患</w:t>
      </w:r>
      <w:r>
        <w:rPr>
          <w:rFonts w:hint="eastAsia" w:ascii="仿宋_GB2312" w:hAnsi="仿宋_GB2312" w:eastAsia="仿宋_GB2312" w:cs="仿宋_GB2312"/>
          <w:color w:val="auto"/>
          <w:kern w:val="2"/>
          <w:sz w:val="32"/>
          <w:szCs w:val="32"/>
        </w:rPr>
        <w:t>）</w:t>
      </w:r>
      <w:r>
        <w:rPr>
          <w:rFonts w:hint="eastAsia" w:ascii="仿宋_GB2312" w:hAnsi="仿宋_GB2312" w:eastAsia="仿宋_GB2312" w:cs="仿宋_GB2312"/>
          <w:color w:val="auto"/>
          <w:kern w:val="2"/>
          <w:sz w:val="32"/>
          <w:szCs w:val="32"/>
          <w:lang w:eastAsia="zh-CN"/>
        </w:rPr>
        <w:t>报送至区安委办。各行业监管部门及时将严重违法违规企业处罚情况（包括实施约谈、联合惩戒、“黑名单”、关闭取缔等措施）报送至区安委办。同时，请于</w:t>
      </w:r>
      <w:r>
        <w:rPr>
          <w:rFonts w:hint="eastAsia" w:ascii="仿宋_GB2312" w:hAnsi="仿宋_GB2312" w:eastAsia="仿宋_GB2312" w:cs="仿宋_GB2312"/>
          <w:color w:val="auto"/>
          <w:kern w:val="2"/>
          <w:sz w:val="32"/>
          <w:szCs w:val="32"/>
        </w:rPr>
        <w:t>202</w:t>
      </w:r>
      <w:r>
        <w:rPr>
          <w:rFonts w:hint="eastAsia" w:ascii="仿宋_GB2312" w:hAnsi="仿宋_GB2312" w:eastAsia="仿宋_GB2312" w:cs="仿宋_GB2312"/>
          <w:color w:val="auto"/>
          <w:kern w:val="2"/>
          <w:sz w:val="32"/>
          <w:szCs w:val="32"/>
          <w:lang w:val="en-US" w:eastAsia="zh-CN"/>
        </w:rPr>
        <w:t>3</w:t>
      </w:r>
      <w:r>
        <w:rPr>
          <w:rFonts w:hint="eastAsia" w:ascii="仿宋_GB2312" w:hAnsi="仿宋_GB2312" w:eastAsia="仿宋_GB2312" w:cs="仿宋_GB2312"/>
          <w:color w:val="auto"/>
          <w:kern w:val="2"/>
          <w:sz w:val="32"/>
          <w:szCs w:val="32"/>
        </w:rPr>
        <w:t>年3月30日前将专项排查整治工作总结报告报送区</w:t>
      </w:r>
      <w:r>
        <w:rPr>
          <w:rFonts w:hint="eastAsia" w:ascii="仿宋_GB2312" w:hAnsi="仿宋_GB2312" w:eastAsia="仿宋_GB2312" w:cs="仿宋_GB2312"/>
          <w:color w:val="auto"/>
          <w:kern w:val="2"/>
          <w:sz w:val="32"/>
          <w:szCs w:val="32"/>
          <w:lang w:eastAsia="zh-CN"/>
        </w:rPr>
        <w:t>安委办</w:t>
      </w:r>
      <w:r>
        <w:rPr>
          <w:rFonts w:hint="eastAsia" w:ascii="仿宋_GB2312" w:hAnsi="仿宋_GB2312" w:eastAsia="仿宋_GB2312" w:cs="仿宋_GB2312"/>
          <w:color w:val="auto"/>
          <w:kern w:val="2"/>
          <w:sz w:val="32"/>
          <w:szCs w:val="32"/>
        </w:rPr>
        <w:t>。</w:t>
      </w:r>
    </w:p>
    <w:p>
      <w:pPr>
        <w:keepNext w:val="0"/>
        <w:keepLines w:val="0"/>
        <w:pageBreakBefore w:val="0"/>
        <w:widowControl w:val="0"/>
        <w:shd w:val="clear"/>
        <w:kinsoku/>
        <w:wordWrap/>
        <w:overflowPunct/>
        <w:topLinePunct w:val="0"/>
        <w:bidi w:val="0"/>
        <w:snapToGrid/>
        <w:spacing w:line="560" w:lineRule="exact"/>
        <w:ind w:firstLine="0" w:firstLineChars="0"/>
        <w:textAlignment w:val="auto"/>
        <w:outlineLvl w:val="9"/>
        <w:rPr>
          <w:rFonts w:hint="eastAsia" w:ascii="Times New Roman" w:hAnsi="Times New Roman" w:eastAsia="仿宋_GB2312"/>
          <w:color w:val="auto"/>
          <w:sz w:val="32"/>
          <w:szCs w:val="32"/>
          <w:highlight w:val="none"/>
        </w:rPr>
      </w:pPr>
      <w:r>
        <w:rPr>
          <w:rFonts w:hint="eastAsia" w:ascii="仿宋_GB2312" w:hAnsi="仿宋_GB2312" w:eastAsia="仿宋_GB2312" w:cs="仿宋_GB2312"/>
          <w:color w:val="auto"/>
          <w:kern w:val="2"/>
          <w:sz w:val="32"/>
          <w:szCs w:val="32"/>
        </w:rPr>
        <w:t>（区安委会办公室</w:t>
      </w:r>
      <w:r>
        <w:rPr>
          <w:rFonts w:hint="eastAsia" w:ascii="仿宋_GB2312" w:hAnsi="仿宋_GB2312" w:eastAsia="仿宋_GB2312" w:cs="仿宋_GB2312"/>
          <w:color w:val="auto"/>
          <w:sz w:val="32"/>
          <w:szCs w:val="32"/>
        </w:rPr>
        <w:t>联系人：胡佳良、潘安琪，联系电话：59610603）</w:t>
      </w:r>
    </w:p>
    <w:p>
      <w:pPr>
        <w:pStyle w:val="2"/>
        <w:rPr>
          <w:rFonts w:hint="eastAsia" w:ascii="Times New Roman" w:hAnsi="Times New Roman" w:eastAsia="仿宋_GB2312"/>
          <w:color w:val="auto"/>
          <w:sz w:val="32"/>
          <w:szCs w:val="32"/>
          <w:highlight w:val="none"/>
        </w:rPr>
      </w:pPr>
    </w:p>
    <w:p>
      <w:pPr>
        <w:keepNext w:val="0"/>
        <w:keepLines w:val="0"/>
        <w:pageBreakBefore w:val="0"/>
        <w:widowControl w:val="0"/>
        <w:kinsoku/>
        <w:wordWrap/>
        <w:overflowPunct/>
        <w:topLinePunct w:val="0"/>
        <w:bidi w:val="0"/>
        <w:snapToGrid/>
        <w:spacing w:line="560" w:lineRule="exact"/>
        <w:ind w:firstLine="624" w:firstLineChars="200"/>
        <w:textAlignment w:val="auto"/>
        <w:outlineLvl w:val="9"/>
        <w:rPr>
          <w:rFonts w:ascii="仿宋_GB2312" w:hAnsi="仿宋_GB2312" w:eastAsia="仿宋_GB2312" w:cs="仿宋_GB2312"/>
          <w:color w:val="auto"/>
          <w:sz w:val="32"/>
          <w:szCs w:val="32"/>
          <w:highlight w:val="none"/>
        </w:rPr>
      </w:pPr>
      <w:r>
        <w:rPr>
          <w:rFonts w:hint="eastAsia" w:ascii="Times New Roman" w:hAnsi="Times New Roman" w:eastAsia="仿宋_GB2312"/>
          <w:color w:val="auto"/>
          <w:sz w:val="32"/>
          <w:szCs w:val="32"/>
          <w:highlight w:val="none"/>
        </w:rPr>
        <w:t>附件：</w:t>
      </w:r>
      <w:r>
        <w:rPr>
          <w:rFonts w:hint="eastAsia" w:ascii="仿宋_GB2312" w:hAnsi="仿宋_GB2312" w:eastAsia="仿宋_GB2312" w:cs="仿宋_GB2312"/>
          <w:color w:val="auto"/>
          <w:sz w:val="32"/>
          <w:szCs w:val="32"/>
          <w:highlight w:val="none"/>
        </w:rPr>
        <w:t>1.崇明区开展安全生产专项排查整治情况统计表</w:t>
      </w:r>
    </w:p>
    <w:p>
      <w:pPr>
        <w:pStyle w:val="2"/>
        <w:keepNext w:val="0"/>
        <w:keepLines w:val="0"/>
        <w:pageBreakBefore w:val="0"/>
        <w:widowControl w:val="0"/>
        <w:kinsoku/>
        <w:wordWrap/>
        <w:overflowPunct/>
        <w:topLinePunct w:val="0"/>
        <w:bidi w:val="0"/>
        <w:snapToGrid/>
        <w:spacing w:line="560" w:lineRule="exact"/>
        <w:ind w:left="1600"/>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rPr>
        <w:t>2.检查发现的问题隐患清单</w:t>
      </w:r>
      <w:r>
        <w:rPr>
          <w:rFonts w:hint="eastAsia" w:ascii="仿宋_GB2312" w:hAnsi="仿宋_GB2312" w:eastAsia="仿宋_GB2312" w:cs="仿宋_GB2312"/>
          <w:color w:val="auto"/>
          <w:sz w:val="32"/>
          <w:szCs w:val="32"/>
          <w:highlight w:val="none"/>
          <w:lang w:val="en-US" w:eastAsia="zh-CN"/>
        </w:rPr>
        <w:t xml:space="preserve">           </w:t>
      </w:r>
    </w:p>
    <w:p>
      <w:pPr>
        <w:keepNext w:val="0"/>
        <w:keepLines w:val="0"/>
        <w:pageBreakBefore w:val="0"/>
        <w:widowControl w:val="0"/>
        <w:kinsoku/>
        <w:wordWrap/>
        <w:overflowPunct/>
        <w:topLinePunct w:val="0"/>
        <w:bidi w:val="0"/>
        <w:snapToGrid/>
        <w:spacing w:line="560" w:lineRule="exact"/>
        <w:jc w:val="both"/>
        <w:textAlignment w:val="auto"/>
        <w:outlineLvl w:val="9"/>
        <w:rPr>
          <w:rFonts w:hint="eastAsia" w:ascii="仿宋_GB2312" w:hAnsi="仿宋_GB2312" w:eastAsia="仿宋_GB2312" w:cs="仿宋_GB2312"/>
          <w:color w:val="auto"/>
          <w:sz w:val="32"/>
          <w:szCs w:val="32"/>
          <w:highlight w:val="none"/>
          <w:lang w:val="en-US" w:eastAsia="zh-CN"/>
        </w:rPr>
      </w:pPr>
    </w:p>
    <w:p>
      <w:pPr>
        <w:keepNext w:val="0"/>
        <w:keepLines w:val="0"/>
        <w:pageBreakBefore w:val="0"/>
        <w:widowControl w:val="0"/>
        <w:kinsoku/>
        <w:wordWrap/>
        <w:overflowPunct/>
        <w:topLinePunct w:val="0"/>
        <w:bidi w:val="0"/>
        <w:snapToGrid/>
        <w:spacing w:line="560" w:lineRule="exact"/>
        <w:ind w:firstLine="4368" w:firstLineChars="1400"/>
        <w:jc w:val="both"/>
        <w:textAlignment w:val="auto"/>
        <w:outlineLvl w:val="9"/>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eastAsia="zh-CN"/>
        </w:rPr>
        <w:t>上海市崇明区安全生产委员会</w:t>
      </w:r>
    </w:p>
    <w:p>
      <w:pPr>
        <w:keepNext w:val="0"/>
        <w:keepLines w:val="0"/>
        <w:pageBreakBefore w:val="0"/>
        <w:widowControl w:val="0"/>
        <w:kinsoku/>
        <w:wordWrap/>
        <w:overflowPunct/>
        <w:topLinePunct w:val="0"/>
        <w:bidi w:val="0"/>
        <w:snapToGrid/>
        <w:spacing w:line="560" w:lineRule="exact"/>
        <w:jc w:val="center"/>
        <w:textAlignment w:val="auto"/>
        <w:outlineLvl w:val="9"/>
        <w:rPr>
          <w:rFonts w:hint="default" w:ascii="Times New Roman" w:hAnsi="Times New Roman" w:eastAsia="仿宋_GB2312"/>
          <w:color w:val="auto"/>
          <w:sz w:val="32"/>
          <w:szCs w:val="32"/>
          <w:highlight w:val="none"/>
          <w:lang w:val="en-US" w:eastAsia="zh-CN"/>
        </w:rPr>
        <w:sectPr>
          <w:footerReference r:id="rId3" w:type="default"/>
          <w:pgSz w:w="11906" w:h="16838"/>
          <w:pgMar w:top="2098" w:right="1474" w:bottom="1984" w:left="1587" w:header="851" w:footer="794" w:gutter="0"/>
          <w:pgNumType w:fmt="numberInDash" w:start="1"/>
          <w:cols w:space="0" w:num="1"/>
          <w:rtlGutter w:val="0"/>
          <w:docGrid w:linePitch="312" w:charSpace="0"/>
        </w:sectPr>
      </w:pPr>
      <w:r>
        <w:rPr>
          <w:rFonts w:hint="eastAsia" w:ascii="仿宋_GB2312" w:hAnsi="仿宋_GB2312" w:eastAsia="仿宋_GB2312" w:cs="仿宋_GB2312"/>
          <w:color w:val="auto"/>
          <w:sz w:val="32"/>
          <w:szCs w:val="32"/>
          <w:highlight w:val="none"/>
          <w:lang w:val="en-US" w:eastAsia="zh-CN"/>
        </w:rPr>
        <w:t xml:space="preserve">                              2022年12月</w:t>
      </w:r>
      <w:r>
        <w:rPr>
          <w:rFonts w:hint="eastAsia" w:ascii="仿宋_GB2312" w:hAnsi="仿宋_GB2312" w:cs="仿宋_GB2312"/>
          <w:color w:val="auto"/>
          <w:sz w:val="32"/>
          <w:szCs w:val="32"/>
          <w:highlight w:val="none"/>
          <w:lang w:val="en-US" w:eastAsia="zh-CN"/>
        </w:rPr>
        <w:t>21</w:t>
      </w:r>
      <w:r>
        <w:rPr>
          <w:rFonts w:hint="eastAsia" w:ascii="仿宋_GB2312" w:hAnsi="仿宋_GB2312" w:eastAsia="仿宋_GB2312" w:cs="仿宋_GB2312"/>
          <w:color w:val="auto"/>
          <w:sz w:val="32"/>
          <w:szCs w:val="32"/>
          <w:highlight w:val="none"/>
          <w:lang w:val="en-US" w:eastAsia="zh-CN"/>
        </w:rPr>
        <w:t>日</w:t>
      </w:r>
    </w:p>
    <w:p>
      <w:pPr>
        <w:keepNext w:val="0"/>
        <w:keepLines w:val="0"/>
        <w:pageBreakBefore w:val="0"/>
        <w:widowControl w:val="0"/>
        <w:kinsoku/>
        <w:wordWrap/>
        <w:topLinePunct w:val="0"/>
        <w:bidi w:val="0"/>
        <w:snapToGrid/>
        <w:spacing w:line="560" w:lineRule="exact"/>
        <w:jc w:val="left"/>
        <w:textAlignment w:val="auto"/>
        <w:outlineLvl w:val="9"/>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rPr>
        <w:t>附件1</w:t>
      </w:r>
    </w:p>
    <w:p>
      <w:pPr>
        <w:keepNext w:val="0"/>
        <w:keepLines w:val="0"/>
        <w:pageBreakBefore w:val="0"/>
        <w:widowControl w:val="0"/>
        <w:kinsoku/>
        <w:wordWrap/>
        <w:topLinePunct w:val="0"/>
        <w:bidi w:val="0"/>
        <w:snapToGrid/>
        <w:spacing w:line="560" w:lineRule="exact"/>
        <w:jc w:val="center"/>
        <w:textAlignment w:val="auto"/>
        <w:outlineLvl w:val="9"/>
        <w:rPr>
          <w:rFonts w:hint="eastAsia" w:ascii="黑体" w:hAnsi="黑体" w:eastAsia="黑体" w:cs="黑体"/>
          <w:color w:val="auto"/>
          <w:sz w:val="44"/>
          <w:szCs w:val="44"/>
          <w:highlight w:val="none"/>
        </w:rPr>
      </w:pPr>
      <w:r>
        <w:rPr>
          <w:rFonts w:hint="eastAsia" w:ascii="黑体" w:hAnsi="黑体" w:eastAsia="黑体" w:cs="黑体"/>
          <w:color w:val="auto"/>
          <w:sz w:val="44"/>
          <w:szCs w:val="44"/>
          <w:highlight w:val="none"/>
        </w:rPr>
        <w:t>崇明区开展安全生产大检查专项排查整治情况统计表</w:t>
      </w:r>
    </w:p>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填报单位：                                                                    填报日期: </w:t>
      </w:r>
    </w:p>
    <w:tbl>
      <w:tblPr>
        <w:tblStyle w:val="8"/>
        <w:tblW w:w="140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7"/>
        <w:gridCol w:w="939"/>
        <w:gridCol w:w="939"/>
        <w:gridCol w:w="941"/>
        <w:gridCol w:w="939"/>
        <w:gridCol w:w="943"/>
        <w:gridCol w:w="939"/>
        <w:gridCol w:w="947"/>
        <w:gridCol w:w="997"/>
        <w:gridCol w:w="880"/>
        <w:gridCol w:w="939"/>
        <w:gridCol w:w="939"/>
        <w:gridCol w:w="939"/>
        <w:gridCol w:w="9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Merge w:val="restart"/>
            <w:vAlign w:val="center"/>
          </w:tcPr>
          <w:p>
            <w:pPr>
              <w:keepNext w:val="0"/>
              <w:keepLines w:val="0"/>
              <w:pageBreakBefore w:val="0"/>
              <w:widowControl w:val="0"/>
              <w:kinsoku/>
              <w:wordWrap/>
              <w:topLinePunct w:val="0"/>
              <w:bidi w:val="0"/>
              <w:snapToGrid/>
              <w:spacing w:line="3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行业领域</w:t>
            </w:r>
          </w:p>
        </w:tc>
        <w:tc>
          <w:tcPr>
            <w:tcW w:w="4701" w:type="dxa"/>
            <w:gridSpan w:val="5"/>
            <w:vAlign w:val="center"/>
          </w:tcPr>
          <w:p>
            <w:pPr>
              <w:keepNext w:val="0"/>
              <w:keepLines w:val="0"/>
              <w:pageBreakBefore w:val="0"/>
              <w:widowControl w:val="0"/>
              <w:kinsoku/>
              <w:wordWrap/>
              <w:topLinePunct w:val="0"/>
              <w:bidi w:val="0"/>
              <w:snapToGrid/>
              <w:spacing w:line="3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组织开展专项排查整治情况</w:t>
            </w:r>
          </w:p>
        </w:tc>
        <w:tc>
          <w:tcPr>
            <w:tcW w:w="1886" w:type="dxa"/>
            <w:gridSpan w:val="2"/>
            <w:vAlign w:val="center"/>
          </w:tcPr>
          <w:p>
            <w:pPr>
              <w:keepNext w:val="0"/>
              <w:keepLines w:val="0"/>
              <w:pageBreakBefore w:val="0"/>
              <w:widowControl w:val="0"/>
              <w:kinsoku/>
              <w:wordWrap/>
              <w:topLinePunct w:val="0"/>
              <w:bidi w:val="0"/>
              <w:snapToGrid/>
              <w:spacing w:line="3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隐患排查情况</w:t>
            </w:r>
          </w:p>
        </w:tc>
        <w:tc>
          <w:tcPr>
            <w:tcW w:w="5643" w:type="dxa"/>
            <w:gridSpan w:val="6"/>
            <w:vAlign w:val="center"/>
          </w:tcPr>
          <w:p>
            <w:pPr>
              <w:keepNext w:val="0"/>
              <w:keepLines w:val="0"/>
              <w:pageBreakBefore w:val="0"/>
              <w:widowControl w:val="0"/>
              <w:kinsoku/>
              <w:wordWrap/>
              <w:topLinePunct w:val="0"/>
              <w:bidi w:val="0"/>
              <w:snapToGrid/>
              <w:spacing w:line="3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实施处罚情况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3" w:hRule="atLeast"/>
        </w:trPr>
        <w:tc>
          <w:tcPr>
            <w:tcW w:w="1787" w:type="dxa"/>
            <w:vMerge w:val="continue"/>
            <w:vAlign w:val="center"/>
          </w:tcPr>
          <w:p>
            <w:pPr>
              <w:keepNext w:val="0"/>
              <w:keepLines w:val="0"/>
              <w:pageBreakBefore w:val="0"/>
              <w:widowControl w:val="0"/>
              <w:kinsoku/>
              <w:wordWrap/>
              <w:topLinePunct w:val="0"/>
              <w:bidi w:val="0"/>
              <w:snapToGrid/>
              <w:spacing w:line="360" w:lineRule="exact"/>
              <w:jc w:val="center"/>
              <w:textAlignment w:val="auto"/>
              <w:outlineLvl w:val="9"/>
              <w:rPr>
                <w:rFonts w:hint="eastAsia" w:ascii="仿宋_GB2312" w:hAnsi="仿宋_GB2312" w:eastAsia="仿宋_GB2312" w:cs="仿宋_GB2312"/>
                <w:color w:val="auto"/>
                <w:sz w:val="24"/>
                <w:highlight w:val="none"/>
              </w:rPr>
            </w:pPr>
          </w:p>
        </w:tc>
        <w:tc>
          <w:tcPr>
            <w:tcW w:w="939" w:type="dxa"/>
            <w:vMerge w:val="restart"/>
            <w:vAlign w:val="center"/>
          </w:tcPr>
          <w:p>
            <w:pPr>
              <w:keepNext w:val="0"/>
              <w:keepLines w:val="0"/>
              <w:pageBreakBefore w:val="0"/>
              <w:widowControl w:val="0"/>
              <w:kinsoku/>
              <w:wordWrap/>
              <w:topLinePunct w:val="0"/>
              <w:bidi w:val="0"/>
              <w:snapToGrid/>
              <w:spacing w:line="360" w:lineRule="exact"/>
              <w:jc w:val="lef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组织检查组</w:t>
            </w:r>
          </w:p>
        </w:tc>
        <w:tc>
          <w:tcPr>
            <w:tcW w:w="1880" w:type="dxa"/>
            <w:gridSpan w:val="2"/>
            <w:vAlign w:val="center"/>
          </w:tcPr>
          <w:p>
            <w:pPr>
              <w:keepNext w:val="0"/>
              <w:keepLines w:val="0"/>
              <w:pageBreakBefore w:val="0"/>
              <w:widowControl w:val="0"/>
              <w:kinsoku/>
              <w:wordWrap/>
              <w:topLinePunct w:val="0"/>
              <w:bidi w:val="0"/>
              <w:snapToGrid/>
              <w:spacing w:line="360" w:lineRule="exact"/>
              <w:jc w:val="left"/>
              <w:textAlignment w:val="auto"/>
              <w:outlineLvl w:val="9"/>
              <w:rPr>
                <w:rFonts w:hint="eastAsia" w:ascii="仿宋_GB2312" w:hAnsi="仿宋_GB2312" w:eastAsia="仿宋_GB2312" w:cs="仿宋_GB2312"/>
                <w:color w:val="auto"/>
                <w:sz w:val="24"/>
                <w:highlight w:val="none"/>
              </w:rPr>
            </w:pPr>
          </w:p>
        </w:tc>
        <w:tc>
          <w:tcPr>
            <w:tcW w:w="939" w:type="dxa"/>
            <w:vMerge w:val="restart"/>
            <w:vAlign w:val="center"/>
          </w:tcPr>
          <w:p>
            <w:pPr>
              <w:keepNext w:val="0"/>
              <w:keepLines w:val="0"/>
              <w:pageBreakBefore w:val="0"/>
              <w:widowControl w:val="0"/>
              <w:kinsoku/>
              <w:wordWrap/>
              <w:topLinePunct w:val="0"/>
              <w:bidi w:val="0"/>
              <w:snapToGrid/>
              <w:spacing w:line="360" w:lineRule="exact"/>
              <w:jc w:val="lef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pacing w:val="-22"/>
                <w:w w:val="90"/>
                <w:kern w:val="0"/>
                <w:sz w:val="24"/>
                <w:highlight w:val="none"/>
              </w:rPr>
              <w:t>参加检查人员</w:t>
            </w:r>
          </w:p>
        </w:tc>
        <w:tc>
          <w:tcPr>
            <w:tcW w:w="943" w:type="dxa"/>
            <w:vMerge w:val="restart"/>
            <w:vAlign w:val="center"/>
          </w:tcPr>
          <w:p>
            <w:pPr>
              <w:keepNext w:val="0"/>
              <w:keepLines w:val="0"/>
              <w:pageBreakBefore w:val="0"/>
              <w:widowControl w:val="0"/>
              <w:kinsoku/>
              <w:wordWrap/>
              <w:topLinePunct w:val="0"/>
              <w:bidi w:val="0"/>
              <w:snapToGrid/>
              <w:spacing w:line="360" w:lineRule="exact"/>
              <w:jc w:val="lef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pacing w:val="-22"/>
                <w:w w:val="90"/>
                <w:kern w:val="0"/>
                <w:sz w:val="24"/>
                <w:highlight w:val="none"/>
              </w:rPr>
              <w:t>检查企事业单位和场所</w:t>
            </w:r>
          </w:p>
        </w:tc>
        <w:tc>
          <w:tcPr>
            <w:tcW w:w="939" w:type="dxa"/>
            <w:vMerge w:val="restart"/>
            <w:vAlign w:val="center"/>
          </w:tcPr>
          <w:p>
            <w:pPr>
              <w:keepNext w:val="0"/>
              <w:keepLines w:val="0"/>
              <w:pageBreakBefore w:val="0"/>
              <w:widowControl w:val="0"/>
              <w:kinsoku/>
              <w:wordWrap/>
              <w:topLinePunct w:val="0"/>
              <w:bidi w:val="0"/>
              <w:snapToGrid/>
              <w:spacing w:line="360" w:lineRule="exact"/>
              <w:jc w:val="lef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pacing w:val="-22"/>
                <w:w w:val="90"/>
                <w:kern w:val="0"/>
                <w:sz w:val="24"/>
                <w:highlight w:val="none"/>
              </w:rPr>
              <w:t>排查出事故隐患</w:t>
            </w:r>
          </w:p>
        </w:tc>
        <w:tc>
          <w:tcPr>
            <w:tcW w:w="947" w:type="dxa"/>
            <w:vAlign w:val="center"/>
          </w:tcPr>
          <w:p>
            <w:pPr>
              <w:keepNext w:val="0"/>
              <w:keepLines w:val="0"/>
              <w:pageBreakBefore w:val="0"/>
              <w:widowControl w:val="0"/>
              <w:kinsoku/>
              <w:wordWrap/>
              <w:topLinePunct w:val="0"/>
              <w:bidi w:val="0"/>
              <w:snapToGrid/>
              <w:spacing w:line="360" w:lineRule="exact"/>
              <w:jc w:val="left"/>
              <w:textAlignment w:val="auto"/>
              <w:outlineLvl w:val="9"/>
              <w:rPr>
                <w:rFonts w:hint="eastAsia" w:ascii="仿宋_GB2312" w:hAnsi="仿宋_GB2312" w:eastAsia="仿宋_GB2312" w:cs="仿宋_GB2312"/>
                <w:color w:val="auto"/>
                <w:sz w:val="24"/>
                <w:highlight w:val="none"/>
              </w:rPr>
            </w:pPr>
          </w:p>
        </w:tc>
        <w:tc>
          <w:tcPr>
            <w:tcW w:w="997" w:type="dxa"/>
            <w:vMerge w:val="restart"/>
            <w:vAlign w:val="center"/>
          </w:tcPr>
          <w:p>
            <w:pPr>
              <w:keepNext w:val="0"/>
              <w:keepLines w:val="0"/>
              <w:pageBreakBefore w:val="0"/>
              <w:widowControl w:val="0"/>
              <w:kinsoku/>
              <w:wordWrap/>
              <w:topLinePunct w:val="0"/>
              <w:bidi w:val="0"/>
              <w:snapToGrid/>
              <w:spacing w:line="360" w:lineRule="exact"/>
              <w:jc w:val="lef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pacing w:val="-22"/>
                <w:w w:val="90"/>
                <w:kern w:val="0"/>
                <w:sz w:val="24"/>
                <w:highlight w:val="none"/>
              </w:rPr>
              <w:t>责令改正、限期整改、停止违法行为</w:t>
            </w:r>
          </w:p>
        </w:tc>
        <w:tc>
          <w:tcPr>
            <w:tcW w:w="880" w:type="dxa"/>
            <w:vMerge w:val="restart"/>
            <w:vAlign w:val="center"/>
          </w:tcPr>
          <w:p>
            <w:pPr>
              <w:keepNext w:val="0"/>
              <w:keepLines w:val="0"/>
              <w:pageBreakBefore w:val="0"/>
              <w:widowControl w:val="0"/>
              <w:kinsoku/>
              <w:wordWrap/>
              <w:topLinePunct w:val="0"/>
              <w:bidi w:val="0"/>
              <w:snapToGrid/>
              <w:spacing w:line="360" w:lineRule="exact"/>
              <w:jc w:val="center"/>
              <w:textAlignment w:val="auto"/>
              <w:outlineLvl w:val="9"/>
              <w:rPr>
                <w:rFonts w:hint="eastAsia" w:ascii="仿宋_GB2312" w:hAnsi="仿宋_GB2312" w:eastAsia="仿宋_GB2312" w:cs="仿宋_GB2312"/>
                <w:color w:val="auto"/>
                <w:spacing w:val="-22"/>
                <w:w w:val="90"/>
                <w:kern w:val="0"/>
                <w:sz w:val="24"/>
                <w:highlight w:val="none"/>
              </w:rPr>
            </w:pPr>
            <w:r>
              <w:rPr>
                <w:rFonts w:hint="eastAsia" w:ascii="仿宋_GB2312" w:hAnsi="仿宋_GB2312" w:eastAsia="仿宋_GB2312" w:cs="仿宋_GB2312"/>
                <w:color w:val="auto"/>
                <w:spacing w:val="-22"/>
                <w:w w:val="90"/>
                <w:kern w:val="0"/>
                <w:sz w:val="24"/>
                <w:highlight w:val="none"/>
              </w:rPr>
              <w:t>公开</w:t>
            </w:r>
          </w:p>
          <w:p>
            <w:pPr>
              <w:keepNext w:val="0"/>
              <w:keepLines w:val="0"/>
              <w:pageBreakBefore w:val="0"/>
              <w:widowControl w:val="0"/>
              <w:kinsoku/>
              <w:wordWrap/>
              <w:topLinePunct w:val="0"/>
              <w:bidi w:val="0"/>
              <w:snapToGrid/>
              <w:spacing w:line="360" w:lineRule="exact"/>
              <w:jc w:val="center"/>
              <w:textAlignment w:val="auto"/>
              <w:outlineLvl w:val="9"/>
              <w:rPr>
                <w:rFonts w:hint="eastAsia" w:ascii="仿宋_GB2312" w:hAnsi="仿宋_GB2312" w:eastAsia="仿宋_GB2312" w:cs="仿宋_GB2312"/>
                <w:color w:val="auto"/>
                <w:spacing w:val="-22"/>
                <w:w w:val="90"/>
                <w:kern w:val="0"/>
                <w:sz w:val="24"/>
                <w:highlight w:val="none"/>
              </w:rPr>
            </w:pPr>
            <w:r>
              <w:rPr>
                <w:rFonts w:hint="eastAsia" w:ascii="仿宋_GB2312" w:hAnsi="仿宋_GB2312" w:eastAsia="仿宋_GB2312" w:cs="仿宋_GB2312"/>
                <w:color w:val="auto"/>
                <w:spacing w:val="-22"/>
                <w:w w:val="90"/>
                <w:kern w:val="0"/>
                <w:sz w:val="24"/>
                <w:highlight w:val="none"/>
              </w:rPr>
              <w:t>曝光</w:t>
            </w:r>
          </w:p>
        </w:tc>
        <w:tc>
          <w:tcPr>
            <w:tcW w:w="939" w:type="dxa"/>
            <w:vMerge w:val="restart"/>
            <w:vAlign w:val="center"/>
          </w:tcPr>
          <w:p>
            <w:pPr>
              <w:keepNext w:val="0"/>
              <w:keepLines w:val="0"/>
              <w:pageBreakBefore w:val="0"/>
              <w:widowControl w:val="0"/>
              <w:kinsoku/>
              <w:wordWrap/>
              <w:topLinePunct w:val="0"/>
              <w:bidi w:val="0"/>
              <w:snapToGrid/>
              <w:spacing w:line="360" w:lineRule="exact"/>
              <w:jc w:val="lef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pacing w:val="-22"/>
                <w:w w:val="90"/>
                <w:kern w:val="0"/>
                <w:sz w:val="24"/>
                <w:highlight w:val="none"/>
              </w:rPr>
              <w:t>责令停产、停业、停止建设</w:t>
            </w:r>
          </w:p>
        </w:tc>
        <w:tc>
          <w:tcPr>
            <w:tcW w:w="939" w:type="dxa"/>
            <w:vMerge w:val="restart"/>
            <w:vAlign w:val="center"/>
          </w:tcPr>
          <w:p>
            <w:pPr>
              <w:keepNext w:val="0"/>
              <w:keepLines w:val="0"/>
              <w:pageBreakBefore w:val="0"/>
              <w:widowControl w:val="0"/>
              <w:kinsoku/>
              <w:wordWrap/>
              <w:topLinePunct w:val="0"/>
              <w:bidi w:val="0"/>
              <w:snapToGrid/>
              <w:spacing w:line="360" w:lineRule="exact"/>
              <w:jc w:val="lef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pacing w:val="-22"/>
                <w:w w:val="90"/>
                <w:kern w:val="0"/>
                <w:sz w:val="24"/>
                <w:highlight w:val="none"/>
              </w:rPr>
              <w:t>暂扣或吊销有关许可证、职业资格</w:t>
            </w:r>
          </w:p>
        </w:tc>
        <w:tc>
          <w:tcPr>
            <w:tcW w:w="939" w:type="dxa"/>
            <w:vMerge w:val="restart"/>
            <w:vAlign w:val="center"/>
          </w:tcPr>
          <w:p>
            <w:pPr>
              <w:keepNext w:val="0"/>
              <w:keepLines w:val="0"/>
              <w:pageBreakBefore w:val="0"/>
              <w:widowControl w:val="0"/>
              <w:kinsoku/>
              <w:wordWrap/>
              <w:topLinePunct w:val="0"/>
              <w:bidi w:val="0"/>
              <w:snapToGrid/>
              <w:spacing w:line="360" w:lineRule="exact"/>
              <w:jc w:val="lef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pacing w:val="-22"/>
                <w:w w:val="90"/>
                <w:kern w:val="0"/>
                <w:sz w:val="24"/>
                <w:highlight w:val="none"/>
              </w:rPr>
              <w:t>关闭非法违法企业</w:t>
            </w:r>
          </w:p>
        </w:tc>
        <w:tc>
          <w:tcPr>
            <w:tcW w:w="949" w:type="dxa"/>
            <w:vMerge w:val="restart"/>
            <w:vAlign w:val="center"/>
          </w:tcPr>
          <w:p>
            <w:pPr>
              <w:keepNext w:val="0"/>
              <w:keepLines w:val="0"/>
              <w:pageBreakBefore w:val="0"/>
              <w:widowControl w:val="0"/>
              <w:kinsoku/>
              <w:wordWrap/>
              <w:topLinePunct w:val="0"/>
              <w:bidi w:val="0"/>
              <w:snapToGrid/>
              <w:spacing w:line="360" w:lineRule="exact"/>
              <w:jc w:val="lef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pacing w:val="-22"/>
                <w:w w:val="90"/>
                <w:kern w:val="0"/>
                <w:sz w:val="24"/>
                <w:highlight w:val="none"/>
              </w:rPr>
              <w:t>处罚罚款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0" w:hRule="atLeast"/>
        </w:trPr>
        <w:tc>
          <w:tcPr>
            <w:tcW w:w="1787" w:type="dxa"/>
            <w:vMerge w:val="continue"/>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Merge w:val="continue"/>
            <w:vAlign w:val="center"/>
          </w:tcPr>
          <w:p>
            <w:pPr>
              <w:keepNext w:val="0"/>
              <w:keepLines w:val="0"/>
              <w:pageBreakBefore w:val="0"/>
              <w:widowControl w:val="0"/>
              <w:kinsoku/>
              <w:wordWrap/>
              <w:topLinePunct w:val="0"/>
              <w:bidi w:val="0"/>
              <w:snapToGrid/>
              <w:spacing w:line="560" w:lineRule="exact"/>
              <w:jc w:val="left"/>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360" w:lineRule="exact"/>
              <w:jc w:val="left"/>
              <w:textAlignment w:val="auto"/>
              <w:outlineLvl w:val="9"/>
              <w:rPr>
                <w:rFonts w:hint="eastAsia" w:ascii="仿宋_GB2312" w:hAnsi="仿宋_GB2312" w:eastAsia="仿宋_GB2312" w:cs="仿宋_GB2312"/>
                <w:color w:val="auto"/>
                <w:spacing w:val="-22"/>
                <w:w w:val="90"/>
                <w:kern w:val="0"/>
                <w:sz w:val="24"/>
                <w:highlight w:val="none"/>
              </w:rPr>
            </w:pPr>
            <w:r>
              <w:rPr>
                <w:rFonts w:hint="eastAsia" w:ascii="仿宋_GB2312" w:hAnsi="仿宋_GB2312" w:eastAsia="仿宋_GB2312" w:cs="仿宋_GB2312"/>
                <w:color w:val="auto"/>
                <w:spacing w:val="-22"/>
                <w:w w:val="90"/>
                <w:kern w:val="0"/>
                <w:sz w:val="24"/>
                <w:highlight w:val="none"/>
              </w:rPr>
              <w:t>其中：暗查、暗访组</w:t>
            </w:r>
          </w:p>
        </w:tc>
        <w:tc>
          <w:tcPr>
            <w:tcW w:w="941" w:type="dxa"/>
            <w:vAlign w:val="center"/>
          </w:tcPr>
          <w:p>
            <w:pPr>
              <w:keepNext w:val="0"/>
              <w:keepLines w:val="0"/>
              <w:pageBreakBefore w:val="0"/>
              <w:widowControl w:val="0"/>
              <w:kinsoku/>
              <w:wordWrap/>
              <w:topLinePunct w:val="0"/>
              <w:bidi w:val="0"/>
              <w:snapToGrid/>
              <w:spacing w:line="360" w:lineRule="exact"/>
              <w:jc w:val="left"/>
              <w:textAlignment w:val="auto"/>
              <w:outlineLvl w:val="9"/>
              <w:rPr>
                <w:rFonts w:hint="eastAsia" w:ascii="仿宋_GB2312" w:hAnsi="仿宋_GB2312" w:eastAsia="仿宋_GB2312" w:cs="仿宋_GB2312"/>
                <w:color w:val="auto"/>
                <w:spacing w:val="-22"/>
                <w:w w:val="90"/>
                <w:kern w:val="0"/>
                <w:sz w:val="24"/>
                <w:highlight w:val="none"/>
              </w:rPr>
            </w:pPr>
            <w:r>
              <w:rPr>
                <w:rFonts w:hint="eastAsia" w:ascii="仿宋_GB2312" w:hAnsi="仿宋_GB2312" w:eastAsia="仿宋_GB2312" w:cs="仿宋_GB2312"/>
                <w:color w:val="auto"/>
                <w:spacing w:val="-22"/>
                <w:w w:val="90"/>
                <w:kern w:val="0"/>
                <w:sz w:val="24"/>
                <w:highlight w:val="none"/>
              </w:rPr>
              <w:t>其中：交叉检查组</w:t>
            </w:r>
          </w:p>
        </w:tc>
        <w:tc>
          <w:tcPr>
            <w:tcW w:w="939" w:type="dxa"/>
            <w:vMerge w:val="continue"/>
            <w:vAlign w:val="center"/>
          </w:tcPr>
          <w:p>
            <w:pPr>
              <w:keepNext w:val="0"/>
              <w:keepLines w:val="0"/>
              <w:pageBreakBefore w:val="0"/>
              <w:widowControl w:val="0"/>
              <w:kinsoku/>
              <w:wordWrap/>
              <w:topLinePunct w:val="0"/>
              <w:bidi w:val="0"/>
              <w:snapToGrid/>
              <w:spacing w:line="560" w:lineRule="exact"/>
              <w:jc w:val="left"/>
              <w:textAlignment w:val="auto"/>
              <w:outlineLvl w:val="9"/>
              <w:rPr>
                <w:rFonts w:hint="eastAsia" w:ascii="仿宋_GB2312" w:hAnsi="仿宋_GB2312" w:eastAsia="仿宋_GB2312" w:cs="仿宋_GB2312"/>
                <w:color w:val="auto"/>
                <w:spacing w:val="-22"/>
                <w:w w:val="90"/>
                <w:kern w:val="0"/>
                <w:sz w:val="24"/>
                <w:highlight w:val="none"/>
              </w:rPr>
            </w:pPr>
          </w:p>
        </w:tc>
        <w:tc>
          <w:tcPr>
            <w:tcW w:w="943" w:type="dxa"/>
            <w:vMerge w:val="continue"/>
            <w:vAlign w:val="center"/>
          </w:tcPr>
          <w:p>
            <w:pPr>
              <w:keepNext w:val="0"/>
              <w:keepLines w:val="0"/>
              <w:pageBreakBefore w:val="0"/>
              <w:widowControl w:val="0"/>
              <w:kinsoku/>
              <w:wordWrap/>
              <w:topLinePunct w:val="0"/>
              <w:bidi w:val="0"/>
              <w:snapToGrid/>
              <w:spacing w:line="560" w:lineRule="exact"/>
              <w:jc w:val="left"/>
              <w:textAlignment w:val="auto"/>
              <w:outlineLvl w:val="9"/>
              <w:rPr>
                <w:rFonts w:hint="eastAsia" w:ascii="仿宋_GB2312" w:hAnsi="仿宋_GB2312" w:eastAsia="仿宋_GB2312" w:cs="仿宋_GB2312"/>
                <w:color w:val="auto"/>
                <w:spacing w:val="-22"/>
                <w:w w:val="90"/>
                <w:kern w:val="0"/>
                <w:sz w:val="24"/>
                <w:highlight w:val="none"/>
              </w:rPr>
            </w:pPr>
          </w:p>
        </w:tc>
        <w:tc>
          <w:tcPr>
            <w:tcW w:w="939" w:type="dxa"/>
            <w:vMerge w:val="continue"/>
            <w:vAlign w:val="center"/>
          </w:tcPr>
          <w:p>
            <w:pPr>
              <w:keepNext w:val="0"/>
              <w:keepLines w:val="0"/>
              <w:pageBreakBefore w:val="0"/>
              <w:widowControl w:val="0"/>
              <w:kinsoku/>
              <w:wordWrap/>
              <w:topLinePunct w:val="0"/>
              <w:bidi w:val="0"/>
              <w:snapToGrid/>
              <w:spacing w:line="560" w:lineRule="exact"/>
              <w:jc w:val="left"/>
              <w:textAlignment w:val="auto"/>
              <w:outlineLvl w:val="9"/>
              <w:rPr>
                <w:rFonts w:hint="eastAsia" w:ascii="仿宋_GB2312" w:hAnsi="仿宋_GB2312" w:eastAsia="仿宋_GB2312" w:cs="仿宋_GB2312"/>
                <w:color w:val="auto"/>
                <w:spacing w:val="-22"/>
                <w:w w:val="90"/>
                <w:kern w:val="0"/>
                <w:sz w:val="24"/>
                <w:highlight w:val="none"/>
              </w:rPr>
            </w:pPr>
          </w:p>
        </w:tc>
        <w:tc>
          <w:tcPr>
            <w:tcW w:w="947" w:type="dxa"/>
            <w:vAlign w:val="center"/>
          </w:tcPr>
          <w:p>
            <w:pPr>
              <w:keepNext w:val="0"/>
              <w:keepLines w:val="0"/>
              <w:pageBreakBefore w:val="0"/>
              <w:widowControl w:val="0"/>
              <w:kinsoku/>
              <w:wordWrap/>
              <w:topLinePunct w:val="0"/>
              <w:bidi w:val="0"/>
              <w:snapToGrid/>
              <w:spacing w:line="360" w:lineRule="exact"/>
              <w:jc w:val="left"/>
              <w:textAlignment w:val="auto"/>
              <w:outlineLvl w:val="9"/>
              <w:rPr>
                <w:rFonts w:hint="eastAsia" w:ascii="仿宋_GB2312" w:hAnsi="仿宋_GB2312" w:eastAsia="仿宋_GB2312" w:cs="仿宋_GB2312"/>
                <w:color w:val="auto"/>
                <w:spacing w:val="-22"/>
                <w:w w:val="90"/>
                <w:kern w:val="0"/>
                <w:sz w:val="24"/>
                <w:highlight w:val="none"/>
              </w:rPr>
            </w:pPr>
            <w:r>
              <w:rPr>
                <w:rFonts w:hint="eastAsia" w:ascii="仿宋_GB2312" w:hAnsi="仿宋_GB2312" w:eastAsia="仿宋_GB2312" w:cs="仿宋_GB2312"/>
                <w:color w:val="auto"/>
                <w:spacing w:val="-22"/>
                <w:w w:val="90"/>
                <w:kern w:val="0"/>
                <w:sz w:val="24"/>
                <w:highlight w:val="none"/>
              </w:rPr>
              <w:t>其中：重大事故隐患</w:t>
            </w:r>
          </w:p>
        </w:tc>
        <w:tc>
          <w:tcPr>
            <w:tcW w:w="997" w:type="dxa"/>
            <w:vMerge w:val="continue"/>
            <w:vAlign w:val="center"/>
          </w:tcPr>
          <w:p>
            <w:pPr>
              <w:keepNext w:val="0"/>
              <w:keepLines w:val="0"/>
              <w:pageBreakBefore w:val="0"/>
              <w:widowControl w:val="0"/>
              <w:kinsoku/>
              <w:wordWrap/>
              <w:topLinePunct w:val="0"/>
              <w:bidi w:val="0"/>
              <w:snapToGrid/>
              <w:spacing w:line="560" w:lineRule="exact"/>
              <w:jc w:val="left"/>
              <w:textAlignment w:val="auto"/>
              <w:outlineLvl w:val="9"/>
              <w:rPr>
                <w:rFonts w:hint="eastAsia" w:ascii="仿宋_GB2312" w:hAnsi="仿宋_GB2312" w:eastAsia="仿宋_GB2312" w:cs="仿宋_GB2312"/>
                <w:color w:val="auto"/>
                <w:spacing w:val="-22"/>
                <w:w w:val="90"/>
                <w:kern w:val="0"/>
                <w:sz w:val="24"/>
                <w:highlight w:val="none"/>
              </w:rPr>
            </w:pPr>
          </w:p>
        </w:tc>
        <w:tc>
          <w:tcPr>
            <w:tcW w:w="880" w:type="dxa"/>
            <w:vMerge w:val="continue"/>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pacing w:val="-22"/>
                <w:w w:val="90"/>
                <w:kern w:val="0"/>
                <w:sz w:val="24"/>
                <w:highlight w:val="none"/>
              </w:rPr>
            </w:pPr>
          </w:p>
        </w:tc>
        <w:tc>
          <w:tcPr>
            <w:tcW w:w="939" w:type="dxa"/>
            <w:vMerge w:val="continue"/>
            <w:vAlign w:val="center"/>
          </w:tcPr>
          <w:p>
            <w:pPr>
              <w:keepNext w:val="0"/>
              <w:keepLines w:val="0"/>
              <w:pageBreakBefore w:val="0"/>
              <w:widowControl w:val="0"/>
              <w:kinsoku/>
              <w:wordWrap/>
              <w:topLinePunct w:val="0"/>
              <w:bidi w:val="0"/>
              <w:snapToGrid/>
              <w:spacing w:line="560" w:lineRule="exact"/>
              <w:jc w:val="left"/>
              <w:textAlignment w:val="auto"/>
              <w:outlineLvl w:val="9"/>
              <w:rPr>
                <w:rFonts w:hint="eastAsia" w:ascii="仿宋_GB2312" w:hAnsi="仿宋_GB2312" w:eastAsia="仿宋_GB2312" w:cs="仿宋_GB2312"/>
                <w:color w:val="auto"/>
                <w:spacing w:val="-22"/>
                <w:w w:val="90"/>
                <w:kern w:val="0"/>
                <w:sz w:val="24"/>
                <w:highlight w:val="none"/>
              </w:rPr>
            </w:pPr>
          </w:p>
        </w:tc>
        <w:tc>
          <w:tcPr>
            <w:tcW w:w="939" w:type="dxa"/>
            <w:vMerge w:val="continue"/>
            <w:vAlign w:val="center"/>
          </w:tcPr>
          <w:p>
            <w:pPr>
              <w:keepNext w:val="0"/>
              <w:keepLines w:val="0"/>
              <w:pageBreakBefore w:val="0"/>
              <w:widowControl w:val="0"/>
              <w:kinsoku/>
              <w:wordWrap/>
              <w:topLinePunct w:val="0"/>
              <w:bidi w:val="0"/>
              <w:snapToGrid/>
              <w:spacing w:line="560" w:lineRule="exact"/>
              <w:jc w:val="left"/>
              <w:textAlignment w:val="auto"/>
              <w:outlineLvl w:val="9"/>
              <w:rPr>
                <w:rFonts w:hint="eastAsia" w:ascii="仿宋_GB2312" w:hAnsi="仿宋_GB2312" w:eastAsia="仿宋_GB2312" w:cs="仿宋_GB2312"/>
                <w:color w:val="auto"/>
                <w:spacing w:val="-22"/>
                <w:w w:val="90"/>
                <w:kern w:val="0"/>
                <w:sz w:val="24"/>
                <w:highlight w:val="none"/>
              </w:rPr>
            </w:pPr>
          </w:p>
        </w:tc>
        <w:tc>
          <w:tcPr>
            <w:tcW w:w="939" w:type="dxa"/>
            <w:vMerge w:val="continue"/>
            <w:vAlign w:val="center"/>
          </w:tcPr>
          <w:p>
            <w:pPr>
              <w:keepNext w:val="0"/>
              <w:keepLines w:val="0"/>
              <w:pageBreakBefore w:val="0"/>
              <w:widowControl w:val="0"/>
              <w:kinsoku/>
              <w:wordWrap/>
              <w:topLinePunct w:val="0"/>
              <w:bidi w:val="0"/>
              <w:snapToGrid/>
              <w:spacing w:line="560" w:lineRule="exact"/>
              <w:jc w:val="left"/>
              <w:textAlignment w:val="auto"/>
              <w:outlineLvl w:val="9"/>
              <w:rPr>
                <w:rFonts w:hint="eastAsia" w:ascii="仿宋_GB2312" w:hAnsi="仿宋_GB2312" w:eastAsia="仿宋_GB2312" w:cs="仿宋_GB2312"/>
                <w:color w:val="auto"/>
                <w:spacing w:val="-22"/>
                <w:w w:val="90"/>
                <w:kern w:val="0"/>
                <w:sz w:val="24"/>
                <w:highlight w:val="none"/>
              </w:rPr>
            </w:pPr>
          </w:p>
        </w:tc>
        <w:tc>
          <w:tcPr>
            <w:tcW w:w="949" w:type="dxa"/>
            <w:vMerge w:val="continue"/>
            <w:vAlign w:val="center"/>
          </w:tcPr>
          <w:p>
            <w:pPr>
              <w:keepNext w:val="0"/>
              <w:keepLines w:val="0"/>
              <w:pageBreakBefore w:val="0"/>
              <w:widowControl w:val="0"/>
              <w:kinsoku/>
              <w:wordWrap/>
              <w:topLinePunct w:val="0"/>
              <w:bidi w:val="0"/>
              <w:snapToGrid/>
              <w:spacing w:line="560" w:lineRule="exact"/>
              <w:jc w:val="left"/>
              <w:textAlignment w:val="auto"/>
              <w:outlineLvl w:val="9"/>
              <w:rPr>
                <w:rFonts w:hint="eastAsia" w:ascii="仿宋_GB2312" w:hAnsi="仿宋_GB2312" w:eastAsia="仿宋_GB2312" w:cs="仿宋_GB2312"/>
                <w:color w:val="auto"/>
                <w:spacing w:val="-22"/>
                <w:w w:val="9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Merge w:val="continue"/>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（个）</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（个）</w:t>
            </w: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（个）</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18"/>
                <w:szCs w:val="18"/>
                <w:highlight w:val="none"/>
              </w:rPr>
            </w:pPr>
            <w:r>
              <w:rPr>
                <w:rFonts w:hint="eastAsia" w:ascii="仿宋_GB2312" w:hAnsi="仿宋_GB2312" w:eastAsia="仿宋_GB2312" w:cs="仿宋_GB2312"/>
                <w:color w:val="auto"/>
                <w:sz w:val="18"/>
                <w:szCs w:val="18"/>
                <w:highlight w:val="none"/>
              </w:rPr>
              <w:t>（人次）</w:t>
            </w: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（家）</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（处）</w:t>
            </w: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（处）</w:t>
            </w: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（起）</w:t>
            </w: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（家）</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（家）</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（个）</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（家）</w:t>
            </w: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18"/>
                <w:szCs w:val="18"/>
                <w:highlight w:val="none"/>
              </w:rPr>
            </w:pPr>
            <w:r>
              <w:rPr>
                <w:rFonts w:hint="eastAsia" w:ascii="仿宋_GB2312" w:hAnsi="仿宋_GB2312" w:eastAsia="仿宋_GB2312" w:cs="仿宋_GB2312"/>
                <w:color w:val="auto"/>
                <w:sz w:val="18"/>
                <w:szCs w:val="18"/>
                <w:highlight w:val="none"/>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Merge w:val="continue"/>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　计</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1.重点工贸</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2.危险化学品</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3.消防</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4.道路交通</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5.水上交通</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6.烟花爆竹</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7.建筑施工</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8.特种设备</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9.民爆物品</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10.城镇燃气</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11.油气管道</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12.旅游安全</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13.渔业船舶</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14.危险废物</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87" w:type="dxa"/>
            <w:vAlign w:val="center"/>
          </w:tcPr>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15.其他</w:t>
            </w: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9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88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3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c>
          <w:tcPr>
            <w:tcW w:w="949"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仿宋_GB2312" w:hAnsi="仿宋_GB2312" w:eastAsia="仿宋_GB2312" w:cs="仿宋_GB2312"/>
                <w:color w:val="auto"/>
                <w:sz w:val="24"/>
                <w:highlight w:val="none"/>
              </w:rPr>
            </w:pPr>
          </w:p>
        </w:tc>
      </w:tr>
    </w:tbl>
    <w:p>
      <w:pPr>
        <w:keepNext w:val="0"/>
        <w:keepLines w:val="0"/>
        <w:pageBreakBefore w:val="0"/>
        <w:widowControl w:val="0"/>
        <w:kinsoku/>
        <w:wordWrap/>
        <w:topLinePunct w:val="0"/>
        <w:bidi w:val="0"/>
        <w:snapToGrid/>
        <w:spacing w:line="560" w:lineRule="exact"/>
        <w:textAlignment w:val="auto"/>
        <w:outlineLvl w:val="9"/>
        <w:rPr>
          <w:rFonts w:hint="eastAsia" w:ascii="仿宋_GB2312" w:hAnsi="仿宋_GB2312" w:eastAsia="仿宋_GB2312" w:cs="仿宋_GB2312"/>
          <w:color w:val="auto"/>
          <w:sz w:val="28"/>
          <w:szCs w:val="28"/>
          <w:highlight w:val="none"/>
        </w:rPr>
      </w:pPr>
      <w:bookmarkStart w:id="1" w:name="_Hlk120646399"/>
      <w:r>
        <w:rPr>
          <w:rFonts w:hint="eastAsia" w:ascii="仿宋_GB2312" w:hAnsi="仿宋_GB2312" w:eastAsia="仿宋_GB2312" w:cs="仿宋_GB2312"/>
          <w:color w:val="auto"/>
          <w:sz w:val="28"/>
          <w:szCs w:val="28"/>
          <w:highlight w:val="none"/>
        </w:rPr>
        <w:t>填报人: 　　　　　　　　　　                          联系电话: 　　</w:t>
      </w:r>
      <w:bookmarkEnd w:id="1"/>
      <w:r>
        <w:rPr>
          <w:rFonts w:hint="eastAsia" w:ascii="仿宋_GB2312" w:hAnsi="仿宋_GB2312" w:eastAsia="仿宋_GB2312" w:cs="仿宋_GB2312"/>
          <w:color w:val="auto"/>
          <w:sz w:val="28"/>
          <w:szCs w:val="28"/>
          <w:highlight w:val="none"/>
        </w:rPr>
        <w:t>　　　　　　　　　</w:t>
      </w:r>
    </w:p>
    <w:p>
      <w:pPr>
        <w:keepNext w:val="0"/>
        <w:keepLines w:val="0"/>
        <w:pageBreakBefore w:val="0"/>
        <w:widowControl w:val="0"/>
        <w:kinsoku/>
        <w:wordWrap/>
        <w:topLinePunct w:val="0"/>
        <w:bidi w:val="0"/>
        <w:snapToGrid/>
        <w:spacing w:line="560" w:lineRule="exact"/>
        <w:ind w:left="0" w:leftChars="0" w:firstLine="0" w:firstLineChars="0"/>
        <w:textAlignment w:val="auto"/>
        <w:outlineLvl w:val="9"/>
        <w:rPr>
          <w:rFonts w:hint="eastAsia" w:ascii="仿宋_GB2312" w:hAnsi="仿宋_GB2312" w:eastAsia="仿宋_GB2312" w:cs="仿宋_GB2312"/>
          <w:color w:val="auto"/>
          <w:sz w:val="28"/>
          <w:szCs w:val="28"/>
          <w:highlight w:val="none"/>
          <w:lang w:eastAsia="zh-CN"/>
        </w:rPr>
      </w:pPr>
      <w:r>
        <w:rPr>
          <w:rFonts w:hint="eastAsia" w:ascii="仿宋_GB2312" w:hAnsi="仿宋_GB2312" w:eastAsia="仿宋_GB2312" w:cs="仿宋_GB2312"/>
          <w:color w:val="auto"/>
          <w:sz w:val="28"/>
          <w:szCs w:val="28"/>
          <w:highlight w:val="none"/>
          <w:lang w:eastAsia="zh-CN"/>
        </w:rPr>
        <w:t>注：</w:t>
      </w:r>
      <w:r>
        <w:rPr>
          <w:rFonts w:hint="eastAsia" w:ascii="仿宋_GB2312" w:hAnsi="仿宋_GB2312" w:eastAsia="仿宋_GB2312" w:cs="仿宋_GB2312"/>
          <w:color w:val="auto"/>
          <w:sz w:val="28"/>
          <w:szCs w:val="28"/>
          <w:highlight w:val="none"/>
          <w:lang w:val="en-US" w:eastAsia="zh-CN"/>
        </w:rPr>
        <w:t>1.</w:t>
      </w:r>
      <w:r>
        <w:rPr>
          <w:rFonts w:hint="eastAsia" w:ascii="仿宋_GB2312" w:hAnsi="仿宋_GB2312" w:eastAsia="仿宋_GB2312" w:cs="仿宋_GB2312"/>
          <w:color w:val="auto"/>
          <w:sz w:val="28"/>
          <w:szCs w:val="28"/>
          <w:highlight w:val="none"/>
          <w:lang w:eastAsia="zh-CN"/>
        </w:rPr>
        <w:t>填报数据为</w:t>
      </w:r>
      <w:r>
        <w:rPr>
          <w:rFonts w:hint="eastAsia" w:ascii="仿宋_GB2312" w:hAnsi="仿宋_GB2312" w:eastAsia="仿宋_GB2312" w:cs="仿宋_GB2312"/>
          <w:color w:val="auto"/>
          <w:sz w:val="28"/>
          <w:szCs w:val="28"/>
          <w:highlight w:val="none"/>
        </w:rPr>
        <w:t>专项排查整治</w:t>
      </w:r>
      <w:r>
        <w:rPr>
          <w:rFonts w:hint="eastAsia" w:ascii="仿宋_GB2312" w:hAnsi="仿宋_GB2312" w:eastAsia="仿宋_GB2312" w:cs="仿宋_GB2312"/>
          <w:color w:val="auto"/>
          <w:sz w:val="28"/>
          <w:szCs w:val="28"/>
          <w:highlight w:val="none"/>
          <w:lang w:eastAsia="zh-CN"/>
        </w:rPr>
        <w:t>以来的累计情况。</w:t>
      </w:r>
    </w:p>
    <w:p>
      <w:pPr>
        <w:keepNext w:val="0"/>
        <w:keepLines w:val="0"/>
        <w:pageBreakBefore w:val="0"/>
        <w:widowControl w:val="0"/>
        <w:kinsoku/>
        <w:wordWrap/>
        <w:topLinePunct w:val="0"/>
        <w:bidi w:val="0"/>
        <w:snapToGrid/>
        <w:spacing w:line="560" w:lineRule="exact"/>
        <w:ind w:left="0" w:leftChars="0" w:firstLine="544" w:firstLineChars="200"/>
        <w:textAlignment w:val="auto"/>
        <w:outlineLvl w:val="9"/>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val="en-US" w:eastAsia="zh-CN"/>
        </w:rPr>
        <w:t>2.表格上报时间为</w:t>
      </w:r>
      <w:r>
        <w:rPr>
          <w:rFonts w:hint="eastAsia" w:ascii="仿宋_GB2312" w:hAnsi="仿宋_GB2312" w:eastAsia="仿宋_GB2312" w:cs="仿宋_GB2312"/>
          <w:color w:val="auto"/>
          <w:sz w:val="28"/>
          <w:szCs w:val="28"/>
          <w:highlight w:val="none"/>
        </w:rPr>
        <w:t>2022年12月起每月30日前</w:t>
      </w:r>
      <w:r>
        <w:rPr>
          <w:rFonts w:hint="eastAsia" w:ascii="仿宋_GB2312" w:hAnsi="仿宋_GB2312" w:eastAsia="仿宋_GB2312" w:cs="仿宋_GB2312"/>
          <w:color w:val="auto"/>
          <w:sz w:val="28"/>
          <w:szCs w:val="28"/>
          <w:highlight w:val="none"/>
          <w:lang w:eastAsia="zh-CN"/>
        </w:rPr>
        <w:t>。</w:t>
      </w:r>
    </w:p>
    <w:p>
      <w:pPr>
        <w:keepNext w:val="0"/>
        <w:keepLines w:val="0"/>
        <w:pageBreakBefore w:val="0"/>
        <w:widowControl w:val="0"/>
        <w:kinsoku/>
        <w:wordWrap/>
        <w:topLinePunct w:val="0"/>
        <w:bidi w:val="0"/>
        <w:snapToGrid/>
        <w:spacing w:line="560" w:lineRule="exact"/>
        <w:textAlignment w:val="auto"/>
        <w:outlineLvl w:val="9"/>
        <w:rPr>
          <w:rFonts w:hint="eastAsia" w:ascii="黑体" w:hAnsi="黑体" w:eastAsia="黑体" w:cs="黑体"/>
          <w:color w:val="auto"/>
          <w:sz w:val="32"/>
          <w:szCs w:val="32"/>
          <w:highlight w:val="none"/>
        </w:rPr>
      </w:pPr>
      <w:r>
        <w:rPr>
          <w:rFonts w:hint="eastAsia" w:ascii="Times New Roman"/>
          <w:color w:val="auto"/>
          <w:sz w:val="28"/>
          <w:szCs w:val="28"/>
          <w:highlight w:val="none"/>
        </w:rPr>
        <w:br w:type="page"/>
      </w:r>
      <w:r>
        <w:rPr>
          <w:rFonts w:hint="eastAsia" w:ascii="黑体" w:hAnsi="黑体" w:eastAsia="黑体" w:cs="黑体"/>
          <w:color w:val="auto"/>
          <w:sz w:val="32"/>
          <w:szCs w:val="32"/>
          <w:highlight w:val="none"/>
        </w:rPr>
        <w:t>附件2</w:t>
      </w:r>
    </w:p>
    <w:p>
      <w:pPr>
        <w:keepNext w:val="0"/>
        <w:keepLines w:val="0"/>
        <w:pageBreakBefore w:val="0"/>
        <w:widowControl w:val="0"/>
        <w:kinsoku/>
        <w:wordWrap/>
        <w:topLinePunct w:val="0"/>
        <w:bidi w:val="0"/>
        <w:snapToGrid/>
        <w:spacing w:line="560" w:lineRule="exact"/>
        <w:jc w:val="center"/>
        <w:textAlignment w:val="auto"/>
        <w:outlineLvl w:val="9"/>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检查发现的问题隐患清单</w:t>
      </w:r>
    </w:p>
    <w:p>
      <w:pPr>
        <w:keepNext w:val="0"/>
        <w:keepLines w:val="0"/>
        <w:pageBreakBefore w:val="0"/>
        <w:widowControl w:val="0"/>
        <w:kinsoku/>
        <w:wordWrap/>
        <w:topLinePunct w:val="0"/>
        <w:bidi w:val="0"/>
        <w:snapToGrid/>
        <w:spacing w:line="560" w:lineRule="exact"/>
        <w:jc w:val="center"/>
        <w:textAlignment w:val="auto"/>
        <w:outlineLvl w:val="9"/>
        <w:rPr>
          <w:rFonts w:hint="eastAsia" w:ascii="方正小标宋简体" w:hAnsi="方正小标宋简体" w:eastAsia="方正小标宋简体" w:cs="方正小标宋简体"/>
          <w:color w:val="auto"/>
          <w:sz w:val="44"/>
          <w:szCs w:val="44"/>
          <w:highlight w:val="none"/>
        </w:rPr>
      </w:pPr>
    </w:p>
    <w:tbl>
      <w:tblPr>
        <w:tblStyle w:val="8"/>
        <w:tblW w:w="141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6"/>
        <w:gridCol w:w="1828"/>
        <w:gridCol w:w="2514"/>
        <w:gridCol w:w="2850"/>
        <w:gridCol w:w="1412"/>
        <w:gridCol w:w="2067"/>
        <w:gridCol w:w="1733"/>
        <w:gridCol w:w="11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85" w:hRule="atLeast"/>
        </w:trPr>
        <w:tc>
          <w:tcPr>
            <w:tcW w:w="606"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b/>
                <w:bCs/>
                <w:color w:val="auto"/>
                <w:sz w:val="28"/>
                <w:szCs w:val="28"/>
                <w:highlight w:val="none"/>
              </w:rPr>
            </w:pPr>
            <w:r>
              <w:rPr>
                <w:rFonts w:hint="eastAsia" w:ascii="Times New Roman" w:hAnsi="Times New Roman" w:eastAsia="仿宋_GB2312" w:cs="仿宋_GB2312"/>
                <w:b/>
                <w:bCs/>
                <w:color w:val="auto"/>
                <w:sz w:val="28"/>
                <w:szCs w:val="28"/>
                <w:highlight w:val="none"/>
              </w:rPr>
              <w:t>序号</w:t>
            </w:r>
          </w:p>
        </w:tc>
        <w:tc>
          <w:tcPr>
            <w:tcW w:w="1828"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b/>
                <w:bCs/>
                <w:color w:val="auto"/>
                <w:sz w:val="28"/>
                <w:szCs w:val="28"/>
                <w:highlight w:val="none"/>
              </w:rPr>
            </w:pPr>
            <w:r>
              <w:rPr>
                <w:rFonts w:hint="eastAsia" w:ascii="Times New Roman" w:hAnsi="Times New Roman" w:eastAsia="仿宋_GB2312" w:cs="仿宋_GB2312"/>
                <w:b/>
                <w:bCs/>
                <w:color w:val="auto"/>
                <w:sz w:val="28"/>
                <w:szCs w:val="28"/>
                <w:highlight w:val="none"/>
              </w:rPr>
              <w:t>单位（企业）</w:t>
            </w:r>
          </w:p>
        </w:tc>
        <w:tc>
          <w:tcPr>
            <w:tcW w:w="2514"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b/>
                <w:bCs/>
                <w:color w:val="auto"/>
                <w:sz w:val="28"/>
                <w:szCs w:val="28"/>
                <w:highlight w:val="none"/>
              </w:rPr>
            </w:pPr>
            <w:r>
              <w:rPr>
                <w:rFonts w:hint="eastAsia" w:ascii="Times New Roman" w:hAnsi="Times New Roman" w:eastAsia="仿宋_GB2312" w:cs="仿宋_GB2312"/>
                <w:b/>
                <w:bCs/>
                <w:color w:val="auto"/>
                <w:sz w:val="28"/>
                <w:szCs w:val="28"/>
                <w:highlight w:val="none"/>
              </w:rPr>
              <w:t>隐患（问题）内容</w:t>
            </w:r>
          </w:p>
        </w:tc>
        <w:tc>
          <w:tcPr>
            <w:tcW w:w="2850"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b/>
                <w:bCs/>
                <w:color w:val="auto"/>
                <w:sz w:val="28"/>
                <w:szCs w:val="28"/>
                <w:highlight w:val="none"/>
              </w:rPr>
            </w:pPr>
            <w:r>
              <w:rPr>
                <w:rFonts w:hint="eastAsia" w:ascii="Times New Roman" w:hAnsi="Times New Roman" w:eastAsia="仿宋_GB2312" w:cs="仿宋_GB2312"/>
                <w:b/>
                <w:bCs/>
                <w:color w:val="auto"/>
                <w:sz w:val="28"/>
                <w:szCs w:val="28"/>
                <w:highlight w:val="none"/>
              </w:rPr>
              <w:t>整改措施、整改要求</w:t>
            </w:r>
          </w:p>
        </w:tc>
        <w:tc>
          <w:tcPr>
            <w:tcW w:w="1412"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b/>
                <w:bCs/>
                <w:color w:val="auto"/>
                <w:sz w:val="28"/>
                <w:szCs w:val="28"/>
                <w:highlight w:val="none"/>
              </w:rPr>
            </w:pPr>
            <w:r>
              <w:rPr>
                <w:rFonts w:hint="eastAsia" w:ascii="Times New Roman" w:hAnsi="Times New Roman" w:eastAsia="仿宋_GB2312" w:cs="仿宋_GB2312"/>
                <w:b/>
                <w:bCs/>
                <w:color w:val="auto"/>
                <w:sz w:val="28"/>
                <w:szCs w:val="28"/>
                <w:highlight w:val="none"/>
              </w:rPr>
              <w:t>整改时限</w:t>
            </w:r>
          </w:p>
        </w:tc>
        <w:tc>
          <w:tcPr>
            <w:tcW w:w="2067"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b/>
                <w:bCs/>
                <w:color w:val="auto"/>
                <w:sz w:val="28"/>
                <w:szCs w:val="28"/>
                <w:highlight w:val="none"/>
              </w:rPr>
            </w:pPr>
            <w:r>
              <w:rPr>
                <w:rFonts w:hint="eastAsia" w:ascii="Times New Roman" w:hAnsi="Times New Roman" w:eastAsia="仿宋_GB2312" w:cs="仿宋_GB2312"/>
                <w:b/>
                <w:bCs/>
                <w:color w:val="auto"/>
                <w:sz w:val="28"/>
                <w:szCs w:val="28"/>
                <w:highlight w:val="none"/>
              </w:rPr>
              <w:t>整改完成情况</w:t>
            </w:r>
          </w:p>
        </w:tc>
        <w:tc>
          <w:tcPr>
            <w:tcW w:w="1733"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b/>
                <w:bCs/>
                <w:color w:val="auto"/>
                <w:sz w:val="28"/>
                <w:szCs w:val="28"/>
                <w:highlight w:val="none"/>
              </w:rPr>
            </w:pPr>
            <w:r>
              <w:rPr>
                <w:rFonts w:hint="eastAsia" w:ascii="Times New Roman" w:hAnsi="Times New Roman" w:eastAsia="仿宋_GB2312" w:cs="仿宋_GB2312"/>
                <w:b/>
                <w:bCs/>
                <w:color w:val="auto"/>
                <w:sz w:val="28"/>
                <w:szCs w:val="28"/>
                <w:highlight w:val="none"/>
              </w:rPr>
              <w:t>整改责任人</w:t>
            </w:r>
          </w:p>
        </w:tc>
        <w:tc>
          <w:tcPr>
            <w:tcW w:w="1161" w:type="dxa"/>
            <w:vAlign w:val="center"/>
          </w:tcPr>
          <w:p>
            <w:pPr>
              <w:keepNext w:val="0"/>
              <w:keepLines w:val="0"/>
              <w:pageBreakBefore w:val="0"/>
              <w:widowControl w:val="0"/>
              <w:kinsoku/>
              <w:wordWrap/>
              <w:topLinePunct w:val="0"/>
              <w:bidi w:val="0"/>
              <w:snapToGrid/>
              <w:spacing w:line="560" w:lineRule="exact"/>
              <w:jc w:val="center"/>
              <w:textAlignment w:val="auto"/>
              <w:outlineLvl w:val="9"/>
              <w:rPr>
                <w:rFonts w:hint="eastAsia" w:ascii="Times New Roman" w:hAnsi="Times New Roman" w:eastAsia="仿宋_GB2312" w:cs="仿宋_GB2312"/>
                <w:b/>
                <w:bCs/>
                <w:color w:val="auto"/>
                <w:sz w:val="28"/>
                <w:szCs w:val="28"/>
                <w:highlight w:val="none"/>
                <w:lang w:eastAsia="zh-CN"/>
              </w:rPr>
            </w:pPr>
            <w:r>
              <w:rPr>
                <w:rFonts w:hint="eastAsia" w:ascii="Times New Roman" w:hAnsi="Times New Roman" w:eastAsia="仿宋_GB2312" w:cs="仿宋_GB2312"/>
                <w:b/>
                <w:bCs/>
                <w:color w:val="auto"/>
                <w:sz w:val="28"/>
                <w:szCs w:val="28"/>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9" w:hRule="atLeast"/>
        </w:trPr>
        <w:tc>
          <w:tcPr>
            <w:tcW w:w="606"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828"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2514"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2850"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412"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2067"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733"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161"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9" w:hRule="atLeast"/>
        </w:trPr>
        <w:tc>
          <w:tcPr>
            <w:tcW w:w="606"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828"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2514"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2850"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412"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2067"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733"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161"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1" w:hRule="atLeast"/>
        </w:trPr>
        <w:tc>
          <w:tcPr>
            <w:tcW w:w="606"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828"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2514"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2850"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412"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2067"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733"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161"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1" w:hRule="atLeast"/>
        </w:trPr>
        <w:tc>
          <w:tcPr>
            <w:tcW w:w="606"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828"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2514"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2850"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412"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2067"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733"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161"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1" w:hRule="atLeast"/>
        </w:trPr>
        <w:tc>
          <w:tcPr>
            <w:tcW w:w="606"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828"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2514"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2850"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412"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2067"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733"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c>
          <w:tcPr>
            <w:tcW w:w="1161" w:type="dxa"/>
          </w:tcPr>
          <w:p>
            <w:pPr>
              <w:keepNext w:val="0"/>
              <w:keepLines w:val="0"/>
              <w:pageBreakBefore w:val="0"/>
              <w:widowControl w:val="0"/>
              <w:kinsoku/>
              <w:wordWrap/>
              <w:topLinePunct w:val="0"/>
              <w:bidi w:val="0"/>
              <w:snapToGrid/>
              <w:spacing w:line="560" w:lineRule="exact"/>
              <w:jc w:val="center"/>
              <w:textAlignment w:val="auto"/>
              <w:outlineLvl w:val="9"/>
              <w:rPr>
                <w:rFonts w:ascii="Times New Roman" w:hAnsi="Times New Roman" w:eastAsia="仿宋_GB2312" w:cs="仿宋_GB2312"/>
                <w:color w:val="auto"/>
                <w:sz w:val="32"/>
                <w:szCs w:val="32"/>
                <w:highlight w:val="none"/>
              </w:rPr>
            </w:pPr>
          </w:p>
        </w:tc>
      </w:tr>
    </w:tbl>
    <w:p>
      <w:pPr>
        <w:keepNext w:val="0"/>
        <w:keepLines w:val="0"/>
        <w:pageBreakBefore w:val="0"/>
        <w:widowControl w:val="0"/>
        <w:kinsoku/>
        <w:wordWrap/>
        <w:topLinePunct w:val="0"/>
        <w:bidi w:val="0"/>
        <w:snapToGrid/>
        <w:spacing w:line="560" w:lineRule="exact"/>
        <w:ind w:left="0" w:leftChars="0" w:firstLine="0" w:firstLineChars="0"/>
        <w:textAlignment w:val="auto"/>
        <w:outlineLvl w:val="9"/>
        <w:rPr>
          <w:rFonts w:hint="eastAsia" w:ascii="仿宋_GB2312" w:hAnsi="仿宋_GB2312" w:eastAsia="仿宋_GB2312" w:cs="仿宋_GB2312"/>
          <w:color w:val="auto"/>
          <w:sz w:val="28"/>
          <w:szCs w:val="28"/>
          <w:highlight w:val="none"/>
          <w:lang w:eastAsia="zh-CN"/>
        </w:rPr>
      </w:pPr>
      <w:r>
        <w:rPr>
          <w:rFonts w:hint="eastAsia" w:ascii="仿宋_GB2312" w:hAnsi="仿宋_GB2312" w:eastAsia="仿宋_GB2312" w:cs="仿宋_GB2312"/>
          <w:color w:val="auto"/>
          <w:sz w:val="28"/>
          <w:szCs w:val="28"/>
          <w:highlight w:val="none"/>
          <w:lang w:eastAsia="zh-CN"/>
        </w:rPr>
        <w:t>注：</w:t>
      </w:r>
      <w:r>
        <w:rPr>
          <w:rFonts w:hint="eastAsia" w:ascii="仿宋_GB2312" w:hAnsi="仿宋_GB2312" w:eastAsia="仿宋_GB2312" w:cs="仿宋_GB2312"/>
          <w:color w:val="auto"/>
          <w:sz w:val="28"/>
          <w:szCs w:val="28"/>
          <w:highlight w:val="none"/>
          <w:lang w:val="en-US" w:eastAsia="zh-CN"/>
        </w:rPr>
        <w:t>1.</w:t>
      </w:r>
      <w:r>
        <w:rPr>
          <w:rFonts w:hint="eastAsia" w:ascii="仿宋_GB2312" w:hAnsi="仿宋_GB2312" w:eastAsia="仿宋_GB2312" w:cs="仿宋_GB2312"/>
          <w:color w:val="auto"/>
          <w:sz w:val="28"/>
          <w:szCs w:val="28"/>
          <w:highlight w:val="none"/>
          <w:lang w:eastAsia="zh-CN"/>
        </w:rPr>
        <w:t>填报内容为</w:t>
      </w:r>
      <w:r>
        <w:rPr>
          <w:rFonts w:hint="eastAsia" w:ascii="仿宋_GB2312" w:hAnsi="仿宋_GB2312" w:eastAsia="仿宋_GB2312" w:cs="仿宋_GB2312"/>
          <w:color w:val="auto"/>
          <w:sz w:val="28"/>
          <w:szCs w:val="28"/>
          <w:highlight w:val="none"/>
        </w:rPr>
        <w:t>专项排查整治</w:t>
      </w:r>
      <w:r>
        <w:rPr>
          <w:rFonts w:hint="eastAsia" w:ascii="仿宋_GB2312" w:hAnsi="仿宋_GB2312" w:eastAsia="仿宋_GB2312" w:cs="仿宋_GB2312"/>
          <w:color w:val="auto"/>
          <w:sz w:val="28"/>
          <w:szCs w:val="28"/>
          <w:highlight w:val="none"/>
          <w:lang w:eastAsia="zh-CN"/>
        </w:rPr>
        <w:t>以来的累计情况，各问题隐患要求闭环管理，重大隐患问题请在备注栏中标明。</w:t>
      </w:r>
    </w:p>
    <w:p>
      <w:pPr>
        <w:pStyle w:val="2"/>
        <w:keepNext w:val="0"/>
        <w:keepLines w:val="0"/>
        <w:pageBreakBefore w:val="0"/>
        <w:widowControl w:val="0"/>
        <w:kinsoku/>
        <w:wordWrap/>
        <w:topLinePunct w:val="0"/>
        <w:bidi w:val="0"/>
        <w:snapToGrid/>
        <w:spacing w:line="560" w:lineRule="exact"/>
        <w:ind w:firstLine="560" w:firstLineChars="200"/>
        <w:textAlignment w:val="auto"/>
        <w:outlineLvl w:val="9"/>
        <w:rPr>
          <w:rFonts w:hint="eastAsia"/>
        </w:rPr>
        <w:sectPr>
          <w:headerReference r:id="rId4" w:type="default"/>
          <w:footerReference r:id="rId5" w:type="default"/>
          <w:pgSz w:w="16838" w:h="11906" w:orient="landscape"/>
          <w:pgMar w:top="1587" w:right="1417" w:bottom="1474" w:left="1440" w:header="851" w:footer="992" w:gutter="0"/>
          <w:pgNumType w:fmt="numberInDash"/>
          <w:cols w:space="720" w:num="1"/>
          <w:docGrid w:linePitch="319" w:charSpace="0"/>
        </w:sectPr>
      </w:pPr>
      <w:r>
        <w:rPr>
          <w:rFonts w:hint="eastAsia" w:ascii="仿宋_GB2312" w:hAnsi="仿宋_GB2312" w:eastAsia="仿宋_GB2312" w:cs="仿宋_GB2312"/>
          <w:color w:val="auto"/>
          <w:sz w:val="28"/>
          <w:szCs w:val="28"/>
          <w:highlight w:val="none"/>
          <w:lang w:val="en-US" w:eastAsia="zh-CN"/>
        </w:rPr>
        <w:t>2.表格上报时间为</w:t>
      </w:r>
      <w:r>
        <w:rPr>
          <w:rFonts w:hint="eastAsia" w:ascii="仿宋_GB2312" w:hAnsi="仿宋_GB2312" w:eastAsia="仿宋_GB2312" w:cs="仿宋_GB2312"/>
          <w:color w:val="auto"/>
          <w:sz w:val="28"/>
          <w:szCs w:val="28"/>
          <w:highlight w:val="none"/>
        </w:rPr>
        <w:t>2022年12月起每月30日前</w:t>
      </w:r>
      <w:r>
        <w:rPr>
          <w:rFonts w:hint="eastAsia" w:ascii="仿宋_GB2312" w:hAnsi="仿宋_GB2312" w:eastAsia="仿宋_GB2312" w:cs="仿宋_GB2312"/>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outlineLvl w:val="9"/>
      </w:pPr>
      <w:r>
        <w:rPr>
          <w:rFonts w:hint="eastAsia" w:ascii="仿宋_GB2312" w:hAnsi="仿宋_GB2312" w:eastAsia="仿宋_GB2312" w:cs="仿宋_GB2312"/>
          <w:sz w:val="32"/>
          <w:szCs w:val="32"/>
        </w:rPr>
        <mc:AlternateContent>
          <mc:Choice Requires="wps">
            <w:drawing>
              <wp:anchor distT="0" distB="0" distL="114300" distR="114300" simplePos="0" relativeHeight="251712512" behindDoc="1" locked="0" layoutInCell="1" hidden="1" allowOverlap="1">
                <wp:simplePos x="0" y="0"/>
                <wp:positionH relativeFrom="column">
                  <wp:posOffset>-3780155</wp:posOffset>
                </wp:positionH>
                <wp:positionV relativeFrom="paragraph">
                  <wp:posOffset>-5346065</wp:posOffset>
                </wp:positionV>
                <wp:extent cx="15120620" cy="20116800"/>
                <wp:effectExtent l="0" t="0" r="0" b="0"/>
                <wp:wrapNone/>
                <wp:docPr id="6" name="矩形 6" hidden="1"/>
                <wp:cNvGraphicFramePr/>
                <a:graphic xmlns:a="http://schemas.openxmlformats.org/drawingml/2006/main">
                  <a:graphicData uri="http://schemas.microsoft.com/office/word/2010/wordprocessingShape">
                    <wps:wsp>
                      <wps:cNvSpPr/>
                      <wps:spPr>
                        <a:xfrm>
                          <a:off x="0" y="0"/>
                          <a:ext cx="15120620" cy="20116800"/>
                        </a:xfrm>
                        <a:prstGeom prst="rect">
                          <a:avLst/>
                        </a:prstGeom>
                        <a:solidFill>
                          <a:srgbClr val="FFFFFF">
                            <a:alpha val="0"/>
                          </a:srgbClr>
                        </a:solidFill>
                        <a:ln w="9525" cap="flat" cmpd="sng">
                          <a:solidFill>
                            <a:srgbClr val="FFFFFF">
                              <a:alpha val="0"/>
                            </a:srgbClr>
                          </a:solidFill>
                          <a:prstDash val="solid"/>
                          <a:miter/>
                          <a:headEnd type="none" w="med" len="med"/>
                          <a:tailEnd type="none" w="med" len="med"/>
                        </a:ln>
                      </wps:spPr>
                      <wps:txbx>
                        <w:txbxContent>
                          <w:p>
                            <w:pPr>
                              <w:jc w:val="center"/>
                            </w:pPr>
                          </w:p>
                        </w:txbxContent>
                      </wps:txbx>
                      <wps:bodyPr upright="1"/>
                    </wps:wsp>
                  </a:graphicData>
                </a:graphic>
              </wp:anchor>
            </w:drawing>
          </mc:Choice>
          <mc:Fallback>
            <w:pict>
              <v:rect id="_x0000_s1026" o:spid="_x0000_s1026" o:spt="1" style="position:absolute;left:0pt;margin-left:-297.65pt;margin-top:-420.95pt;height:1584pt;width:1190.6pt;visibility:hidden;z-index:-251603968;mso-width-relative:page;mso-height-relative:page;" fillcolor="#FFFFFF" filled="t" stroked="t" coordsize="21600,21600" o:gfxdata="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9X8V9oAAAAPAQAADwAAAAAAAAABACAAAAAiAAAAZHJzL2Rvd25yZXYueG1sUEsB&#10;AhQAFAAAAAgAh07iQNoOm3XzAQAAIwQAAA4AAAAAAAAAAQAgAAAAKQEAAGRycy9lMm9Eb2MueG1s&#10;UEsFBgAAAAAGAAYAWQEAAI4FAAAAAA==&#10;">
                <v:fill on="t" opacity="0f" focussize="0,0"/>
                <v:stroke color="#FFFFFF" opacity="0f" joinstyle="miter"/>
                <v:imagedata o:title=""/>
                <o:lock v:ext="edit" aspectratio="f"/>
                <v:textbox>
                  <w:txbxContent>
                    <w:p>
                      <w:pPr>
                        <w:jc w:val="center"/>
                      </w:pPr>
                    </w:p>
                  </w:txbxContent>
                </v:textbox>
              </v:rect>
            </w:pict>
          </mc:Fallback>
        </mc:AlternateContent>
      </w:r>
      <w:r>
        <w:rPr>
          <w:rFonts w:hint="eastAsia" w:ascii="仿宋_GB2312" w:hAnsi="仿宋_GB2312" w:eastAsia="仿宋_GB2312" w:cs="仿宋_GB2312"/>
          <w:sz w:val="32"/>
          <w:szCs w:val="32"/>
        </w:rPr>
        <mc:AlternateContent>
          <mc:Choice Requires="wps">
            <w:drawing>
              <wp:anchor distT="0" distB="0" distL="114300" distR="114300" simplePos="0" relativeHeight="251713536" behindDoc="1" locked="0" layoutInCell="1" hidden="1" allowOverlap="1">
                <wp:simplePos x="0" y="0"/>
                <wp:positionH relativeFrom="column">
                  <wp:posOffset>-3780155</wp:posOffset>
                </wp:positionH>
                <wp:positionV relativeFrom="paragraph">
                  <wp:posOffset>-5346065</wp:posOffset>
                </wp:positionV>
                <wp:extent cx="15120620" cy="20116800"/>
                <wp:effectExtent l="0" t="0" r="0" b="0"/>
                <wp:wrapNone/>
                <wp:docPr id="7" name="矩形 7" hidden="1"/>
                <wp:cNvGraphicFramePr/>
                <a:graphic xmlns:a="http://schemas.openxmlformats.org/drawingml/2006/main">
                  <a:graphicData uri="http://schemas.microsoft.com/office/word/2010/wordprocessingShape">
                    <wps:wsp>
                      <wps:cNvSpPr/>
                      <wps:spPr>
                        <a:xfrm>
                          <a:off x="0" y="0"/>
                          <a:ext cx="15120620" cy="20116800"/>
                        </a:xfrm>
                        <a:prstGeom prst="rect">
                          <a:avLst/>
                        </a:prstGeom>
                        <a:solidFill>
                          <a:srgbClr val="FFFFFF">
                            <a:alpha val="0"/>
                          </a:srgbClr>
                        </a:solidFill>
                        <a:ln w="9525" cap="flat" cmpd="sng">
                          <a:solidFill>
                            <a:srgbClr val="FFFFFF">
                              <a:alpha val="0"/>
                            </a:srgbClr>
                          </a:solidFill>
                          <a:prstDash val="solid"/>
                          <a:miter/>
                          <a:headEnd type="none" w="med" len="med"/>
                          <a:tailEnd type="none" w="med" len="med"/>
                        </a:ln>
                      </wps:spPr>
                      <wps:txbx>
                        <w:txbxContent>
                          <w:p>
                            <w:pPr>
                              <w:jc w:val="center"/>
                            </w:pPr>
                          </w:p>
                        </w:txbxContent>
                      </wps:txbx>
                      <wps:bodyPr upright="1"/>
                    </wps:wsp>
                  </a:graphicData>
                </a:graphic>
              </wp:anchor>
            </w:drawing>
          </mc:Choice>
          <mc:Fallback>
            <w:pict>
              <v:rect id="_x0000_s1026" o:spid="_x0000_s1026" o:spt="1" style="position:absolute;left:0pt;margin-left:-297.65pt;margin-top:-420.95pt;height:1584pt;width:1190.6pt;visibility:hidden;z-index:-251602944;mso-width-relative:page;mso-height-relative:page;" fillcolor="#FFFFFF" filled="t" stroked="t" coordsize="21600,21600" o:gfxdata="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9X8V9oAAAAPAQAADwAAAAAAAAABACAAAAAiAAAAZHJzL2Rvd25yZXYueG1sUEsB&#10;AhQAFAAAAAgAh07iQG17oaDzAQAAIwQAAA4AAAAAAAAAAQAgAAAAKQEAAGRycy9lMm9Eb2MueG1s&#10;UEsFBgAAAAAGAAYAWQEAAI4FAAAAAA==&#10;">
                <v:fill on="t" opacity="0f" focussize="0,0"/>
                <v:stroke color="#FFFFFF" opacity="0f" joinstyle="miter"/>
                <v:imagedata o:title=""/>
                <o:lock v:ext="edit" aspectratio="f"/>
                <v:textbox>
                  <w:txbxContent>
                    <w:p>
                      <w:pPr>
                        <w:jc w:val="center"/>
                      </w:pPr>
                    </w:p>
                  </w:txbxContent>
                </v:textbox>
              </v:rect>
            </w:pict>
          </mc:Fallback>
        </mc:AlternateContent>
      </w:r>
    </w:p>
    <w:sectPr>
      <w:footerReference r:id="rId6" w:type="default"/>
      <w:pgSz w:w="11906" w:h="16838"/>
      <w:pgMar w:top="2098" w:right="1474" w:bottom="1984" w:left="1587" w:header="851" w:footer="1417"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_GB18030">
    <w:altName w:val="Segoe Print"/>
    <w:panose1 w:val="00000000000000000000"/>
    <w:charset w:val="00"/>
    <w:family w:val="roman"/>
    <w:pitch w:val="default"/>
    <w:sig w:usb0="00000000" w:usb1="00000000" w:usb2="00000000" w:usb3="00000000" w:csb0="00000001"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sz w:val="18"/>
      </w:rPr>
      <mc:AlternateContent>
        <mc:Choice Requires="wps">
          <w:drawing>
            <wp:anchor distT="0" distB="0" distL="114300" distR="114300" simplePos="0" relativeHeight="2517155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仿宋_GB2312"/>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- 1 -</w:t>
                          </w:r>
                          <w:r>
                            <w:rPr>
                              <w:rFonts w:hint="eastAsia" w:ascii="宋体" w:hAnsi="宋体" w:eastAsia="宋体" w:cs="宋体"/>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7155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9tdHoS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M9tdHoSAgAAFQQAAA4AAAAAAAAAAQAg&#10;AAAAHwEAAGRycy9lMm9Eb2MueG1sUEsFBgAAAAAGAAYAWQEAAKMFAAAAAA==&#10;">
              <v:fill on="f" focussize="0,0"/>
              <v:stroke on="f" weight="0.5pt"/>
              <v:imagedata o:title=""/>
              <o:lock v:ext="edit" aspectratio="f"/>
              <v:textbox inset="0mm,0mm,0mm,0mm" style="mso-fit-shape-to-text:t;">
                <w:txbxContent>
                  <w:p>
                    <w:pPr>
                      <w:pStyle w:val="5"/>
                      <w:rPr>
                        <w:rFonts w:hint="eastAsia" w:eastAsia="仿宋_GB2312"/>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- 1 -</w:t>
                    </w:r>
                    <w:r>
                      <w:rPr>
                        <w:rFonts w:hint="eastAsia" w:ascii="宋体" w:hAnsi="宋体" w:eastAsia="宋体" w:cs="宋体"/>
                        <w:sz w:val="28"/>
                        <w:szCs w:val="28"/>
                        <w:lang w:eastAsia="zh-CN"/>
                      </w:rPr>
                      <w:fldChar w:fldCharType="end"/>
                    </w:r>
                  </w:p>
                </w:txbxContent>
              </v:textbox>
            </v:shape>
          </w:pict>
        </mc:Fallback>
      </mc:AlternateContent>
    </w:r>
  </w:p>
  <w:p>
    <w:pPr>
      <w:pStyle w:val="5"/>
      <w:ind w:right="360" w:firstLin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sz w:val="18"/>
      </w:rPr>
      <mc:AlternateContent>
        <mc:Choice Requires="wps">
          <w:drawing>
            <wp:anchor distT="0" distB="0" distL="114300" distR="114300" simplePos="0" relativeHeight="25171660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- 13 -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7166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TvZET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BIk72REwIAABUEAAAOAAAAAAAAAAEA&#10;IAAAAB8BAABkcnMvZTJvRG9jLnhtbFBLBQYAAAAABgAGAFkBAACkBQAAAAA=&#10;">
              <v:fill on="f" focussize="0,0"/>
              <v:stroke on="f" weight="0.5pt"/>
              <v:imagedata o:title=""/>
              <o:lock v:ext="edit" aspectratio="f"/>
              <v:textbox inset="0mm,0mm,0mm,0mm" style="mso-fit-shape-to-text:t;">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- 13 -</w:t>
                    </w:r>
                    <w:r>
                      <w:rPr>
                        <w:rFonts w:hint="eastAsia"/>
                        <w:lang w:eastAsia="zh-CN"/>
                      </w:rPr>
                      <w:fldChar w:fldCharType="end"/>
                    </w:r>
                  </w:p>
                </w:txbxContent>
              </v:textbox>
            </v:shape>
          </w:pict>
        </mc:Fallback>
      </mc:AlternateContent>
    </w:r>
  </w:p>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71763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- 16 -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7176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7Kn4UAgAAFQQAAA4AAABkcnMvZTJvRG9jLnhtbK1Ty47TMBTdI/EP&#10;lvc0aUe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CjsqfhQCAAAV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- 16 -</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F201AE"/>
    <w:rsid w:val="0C335B4B"/>
    <w:rsid w:val="1EFA1D7F"/>
    <w:rsid w:val="247E32C1"/>
    <w:rsid w:val="53F201AE"/>
    <w:rsid w:val="787A67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86" w:lineRule="exact"/>
      <w:jc w:val="both"/>
    </w:pPr>
    <w:rPr>
      <w:rFonts w:ascii="Calibri" w:hAnsi="Calibri" w:eastAsia="仿宋_GB2312" w:cs="Times New Roman"/>
      <w:spacing w:val="-4"/>
      <w:kern w:val="2"/>
      <w:sz w:val="32"/>
      <w:szCs w:val="24"/>
      <w:lang w:val="en-US" w:eastAsia="zh-CN" w:bidi="ar-SA"/>
    </w:rPr>
  </w:style>
  <w:style w:type="character" w:default="1" w:styleId="7">
    <w:name w:val="Default Paragraph Font"/>
    <w:semiHidden/>
    <w:qFormat/>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3">
    <w:name w:val="Plain Text"/>
    <w:basedOn w:val="1"/>
    <w:qFormat/>
    <w:uiPriority w:val="0"/>
    <w:rPr>
      <w:rFonts w:ascii="宋体" w:hAnsi="Courier New" w:eastAsia="宋体" w:cs="Courier New"/>
      <w:sz w:val="21"/>
      <w:szCs w:val="21"/>
    </w:rPr>
  </w:style>
  <w:style w:type="paragraph" w:styleId="4">
    <w:name w:val="Date"/>
    <w:basedOn w:val="1"/>
    <w:next w:val="1"/>
    <w:qFormat/>
    <w:uiPriority w:val="0"/>
    <w:rPr>
      <w:rFonts w:ascii="仿宋_GB2312" w:eastAsia="仿宋_GB2312"/>
      <w:sz w:val="28"/>
      <w:szCs w:val="20"/>
    </w:rPr>
  </w:style>
  <w:style w:type="paragraph" w:styleId="5">
    <w:name w:val="footer"/>
    <w:basedOn w:val="1"/>
    <w:next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上海市崇明区安全生产监督管理局</Company>
  <Pages>1</Pages>
  <Words>0</Words>
  <Characters>0</Characters>
  <Lines>0</Lines>
  <Paragraphs>0</Paragraphs>
  <TotalTime>6</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2022-12-21T06:16:00Z</dcterms:created>
  <dc:creator>Administrator</dc:creator>
  <cp:lastModifiedBy>Administrator</cp:lastModifiedBy>
  <dcterms:modified xsi:type="dcterms:W3CDTF">2023-01-12T02:54:28Z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